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p>
    <w:p>
      <w:pPr>
        <w:spacing w:after="360"/>
        <w:jc w:val="center"/>
      </w:pPr>
      <w:r>
        <w:rPr>
          <w:rFonts w:ascii="Aptos" w:hAnsi="Aptos" w:eastAsia="Aptos"/>
          <w:b/>
          <w:color w:val="9A7100"/>
          <w:sz w:val="19"/>
        </w:rPr>
        <w:t>PROFESSIONAL CURRICULUM • SELF-STUDY • TUTOR-MODERATED</w:t>
      </w:r>
    </w:p>
    <w:p>
      <w:pPr>
        <w:spacing w:after="200"/>
        <w:jc w:val="center"/>
      </w:pPr>
      <w:r>
        <w:rPr>
          <w:rFonts w:ascii="Aptos Display" w:hAnsi="Aptos Display" w:eastAsia="Aptos Display"/>
          <w:b/>
          <w:color w:val="0B2545"/>
          <w:sz w:val="56"/>
        </w:rPr>
        <w:t>THE COMPLETE STANDARD YORÙBÁ</w:t>
        <w:br/>
        <w:t>LANGUAGE &amp; CULTURE COURSE</w:t>
      </w:r>
    </w:p>
    <w:p>
      <w:pPr>
        <w:spacing w:after="160"/>
        <w:jc w:val="center"/>
      </w:pPr>
      <w:r>
        <w:rPr>
          <w:rFonts w:ascii="Aptos" w:hAnsi="Aptos" w:eastAsia="Aptos"/>
          <w:color w:val="1F4D78"/>
          <w:sz w:val="28"/>
        </w:rPr>
        <w:t>From Absolute Beginner to Advanced Academic and Professional Proficiency</w:t>
      </w:r>
    </w:p>
    <w:p>
      <w:pPr>
        <w:spacing w:before="140" w:after="100"/>
        <w:jc w:val="center"/>
      </w:pPr>
      <w:r>
        <w:drawing>
          <wp:inline xmlns:a="http://schemas.openxmlformats.org/drawingml/2006/main" xmlns:pic="http://schemas.openxmlformats.org/drawingml/2006/picture">
            <wp:extent cx="5212080" cy="2931795"/>
            <wp:docPr id="1" name="Picture 1" descr="Talking drum, indigo textile, open notebook and map arranged on a dark study desk" title="Talking drum, indigo textile, open notebook and map arranged on a dark study desk"/>
            <wp:cNvGraphicFramePr>
              <a:graphicFrameLocks noChangeAspect="1"/>
            </wp:cNvGraphicFramePr>
            <a:graphic>
              <a:graphicData uri="http://schemas.openxmlformats.org/drawingml/2006/picture">
                <pic:pic>
                  <pic:nvPicPr>
                    <pic:cNvPr id="0" name="hero-gemini-doc.jpg"/>
                    <pic:cNvPicPr/>
                  </pic:nvPicPr>
                  <pic:blipFill>
                    <a:blip r:embed="rId11"/>
                    <a:stretch>
                      <a:fillRect/>
                    </a:stretch>
                  </pic:blipFill>
                  <pic:spPr>
                    <a:xfrm>
                      <a:off x="0" y="0"/>
                      <a:ext cx="5212080" cy="2931795"/>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E8EEF5"/>
          </w:tcPr>
          <w:p>
            <w:pPr>
              <w:spacing w:after="0"/>
            </w:pPr>
            <w:r>
              <w:rPr>
                <w:rFonts w:ascii="Aptos" w:hAnsi="Aptos" w:eastAsia="Aptos"/>
                <w:b/>
                <w:color w:val="0B2545"/>
              </w:rPr>
              <w:t xml:space="preserve">FOUR-MODULE PATHWAY </w:t>
            </w:r>
            <w:r>
              <w:t>Novice • Intermediate I • Intermediate II • Advanced</w:t>
            </w:r>
          </w:p>
        </w:tc>
      </w:tr>
    </w:tbl>
    <w:p>
      <w:pPr>
        <w:spacing w:after="0"/>
      </w:pPr>
    </w:p>
    <w:p>
      <w:pPr>
        <w:spacing w:before="240"/>
        <w:jc w:val="center"/>
      </w:pPr>
      <w:r>
        <w:rPr>
          <w:rFonts w:ascii="Aptos" w:hAnsi="Aptos" w:eastAsia="Aptos"/>
          <w:i/>
          <w:color w:val="5A6675"/>
          <w:sz w:val="20"/>
        </w:rPr>
        <w:t>Aligned by curriculum design - not by institutional endorsement - with structures and published content from Olabisi Onabanjo University, University of Ibadan, University of Lagos, SOAS University of London, NINLAN, WAEC/WASSCE, and Avant STAMP WS.</w:t>
      </w:r>
    </w:p>
    <w:p>
      <w:pPr>
        <w:spacing w:before="200"/>
        <w:jc w:val="center"/>
      </w:pPr>
      <w:r>
        <w:rPr>
          <w:rFonts w:ascii="Aptos" w:hAnsi="Aptos" w:eastAsia="Aptos"/>
          <w:b/>
          <w:color w:val="0B2545"/>
          <w:sz w:val="20"/>
        </w:rPr>
        <w:t>Research verified 1 September 2026</w:t>
      </w:r>
    </w:p>
    <w:p>
      <w:r>
        <w:br w:type="page"/>
      </w:r>
    </w:p>
    <w:p>
      <w:pPr>
        <w:pStyle w:val="Heading1"/>
      </w:pPr>
      <w:r>
        <w:t>How to Use This Guide</w:t>
      </w:r>
    </w:p>
    <w:p>
      <w:r>
        <w:t>This is a complete curriculum architecture and learner study guide for Standard Yorùbá (èdè Yorùbá àjùmọ̀lò): the school, publishing, and media-oriented standard rather than a single local dialect. It combines a university-style sequence, a practical self-study system, and assessment-ready portfolios. It is not a degree, an official university syllabus, or an examination registration document. Institutional names are used to show curriculum alignment with their published programme structures.</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FFF8E8"/>
          </w:tcPr>
          <w:p>
            <w:pPr>
              <w:spacing w:after="0"/>
            </w:pPr>
            <w:r>
              <w:rPr>
                <w:rFonts w:ascii="Aptos" w:hAnsi="Aptos" w:eastAsia="Aptos"/>
                <w:b/>
                <w:color w:val="9A7100"/>
              </w:rPr>
              <w:t xml:space="preserve">START TOMORROW </w:t>
            </w:r>
            <w:r>
              <w:t>Install a keyboard method that can type ẹ, ọ, ṣ and combining acute/grave marks; complete the diagnostic; then begin Unit 1 with 15 minutes of listening and tone imitation before reading explanations.</w:t>
            </w:r>
          </w:p>
        </w:tc>
      </w:tr>
    </w:tbl>
    <w:p>
      <w:pPr>
        <w:spacing w:after="0"/>
      </w:pPr>
    </w:p>
    <w:p>
      <w:pPr>
        <w:pStyle w:val="Heading2"/>
      </w:pPr>
      <w:r>
        <w:t>Learning contract</w:t>
      </w:r>
    </w:p>
    <w:p>
      <w:pPr>
        <w:pStyle w:val="ListBullet"/>
        <w:spacing w:after="80" w:line="300" w:lineRule="auto"/>
      </w:pPr>
      <w:r>
        <w:t>Write pedagogical Yorùbá with underdots and tone marks. Casual digital text may omit marks, but this course does not treat omission as mastery.</w:t>
      </w:r>
    </w:p>
    <w:p>
      <w:pPr>
        <w:pStyle w:val="ListBullet"/>
        <w:spacing w:after="80" w:line="300" w:lineRule="auto"/>
      </w:pPr>
      <w:r>
        <w:t>Train the ear and voice every day. Tone errors that change lexical or grammatical meaning are communication errors, not merely an accent.</w:t>
      </w:r>
    </w:p>
    <w:p>
      <w:pPr>
        <w:pStyle w:val="ListBullet"/>
        <w:spacing w:after="80" w:line="300" w:lineRule="auto"/>
      </w:pPr>
      <w:r>
        <w:t>Use a fluent, literate tutor or trained speaker to validate recorded work, especially from Intermediate II onward.</w:t>
      </w:r>
    </w:p>
    <w:p>
      <w:pPr>
        <w:pStyle w:val="ListBullet"/>
        <w:spacing w:after="80" w:line="300" w:lineRule="auto"/>
      </w:pPr>
      <w:r>
        <w:t>Treat culture analytically and respectfully. Ifá and other traditional religious systems are studied as knowledge traditions, without devotional instruction or caricature.</w:t>
      </w:r>
    </w:p>
    <w:p>
      <w:pPr>
        <w:pStyle w:val="ListBullet"/>
        <w:spacing w:after="80" w:line="300" w:lineRule="auto"/>
      </w:pPr>
      <w:r>
        <w:t>Keep an error log with separate columns for segment, tone, orthography, grammar, register, and meaning.</w:t>
      </w:r>
    </w:p>
    <w:p>
      <w:pPr>
        <w:pStyle w:val="Heading2"/>
      </w:pPr>
      <w:r>
        <w:t>Suggested duration and progression</w:t>
      </w:r>
    </w:p>
    <w:tbl>
      <w:tblPr>
        <w:tblStyle w:val="TableGrid"/>
        <w:tblW w:type="dxa" w:w="9360"/>
        <w:jc w:val="left"/>
        <w:tblLayout w:type="fixed"/>
        <w:tblLook w:firstColumn="1" w:firstRow="1" w:lastColumn="0" w:lastRow="0" w:noHBand="0" w:noVBand="1" w:val="04A0"/>
        <w:tblInd w:w="120" w:type="dxa"/>
      </w:tblPr>
      <w:tblGrid>
        <w:gridCol w:w="1700"/>
        <w:gridCol w:w="1750"/>
        <w:gridCol w:w="1500"/>
        <w:gridCol w:w="1500"/>
        <w:gridCol w:w="2910"/>
      </w:tblGrid>
      <w:tr>
        <w:trPr>
          <w:tblHeader w:val="true"/>
          <w:cantSplit/>
        </w:trPr>
        <w:tc>
          <w:tcPr>
            <w:tcW w:type="dxa" w:w="1700"/>
            <w:shd w:fill="E8EEF5"/>
            <w:vAlign w:val="center"/>
            <w:tcMar>
              <w:top w:w="80" w:type="dxa"/>
              <w:start w:w="120" w:type="dxa"/>
              <w:bottom w:w="80" w:type="dxa"/>
              <w:end w:w="120" w:type="dxa"/>
            </w:tcMar>
          </w:tcPr>
          <w:p>
            <w:pPr>
              <w:spacing w:after="0"/>
            </w:pPr>
            <w:r>
              <w:rPr>
                <w:rFonts w:ascii="Aptos" w:hAnsi="Aptos" w:eastAsia="Aptos"/>
                <w:b/>
                <w:color w:val="0B2545"/>
                <w:sz w:val="17"/>
              </w:rPr>
              <w:t>Module</w:t>
            </w:r>
          </w:p>
        </w:tc>
        <w:tc>
          <w:tcPr>
            <w:tcW w:type="dxa" w:w="1750"/>
            <w:shd w:fill="E8EEF5"/>
            <w:vAlign w:val="center"/>
            <w:tcMar>
              <w:top w:w="80" w:type="dxa"/>
              <w:start w:w="120" w:type="dxa"/>
              <w:bottom w:w="80" w:type="dxa"/>
              <w:end w:w="120" w:type="dxa"/>
            </w:tcMar>
          </w:tcPr>
          <w:p>
            <w:pPr>
              <w:spacing w:after="0"/>
            </w:pPr>
            <w:r>
              <w:rPr>
                <w:rFonts w:ascii="Aptos" w:hAnsi="Aptos" w:eastAsia="Aptos"/>
                <w:b/>
                <w:color w:val="0B2545"/>
                <w:sz w:val="17"/>
              </w:rPr>
              <w:t>Indicative target</w:t>
            </w:r>
          </w:p>
        </w:tc>
        <w:tc>
          <w:tcPr>
            <w:tcW w:type="dxa" w:w="1500"/>
            <w:shd w:fill="E8EEF5"/>
            <w:vAlign w:val="center"/>
            <w:tcMar>
              <w:top w:w="80" w:type="dxa"/>
              <w:start w:w="120" w:type="dxa"/>
              <w:bottom w:w="80" w:type="dxa"/>
              <w:end w:w="120" w:type="dxa"/>
            </w:tcMar>
          </w:tcPr>
          <w:p>
            <w:pPr>
              <w:spacing w:after="0"/>
            </w:pPr>
            <w:r>
              <w:rPr>
                <w:rFonts w:ascii="Aptos" w:hAnsi="Aptos" w:eastAsia="Aptos"/>
                <w:b/>
                <w:color w:val="0B2545"/>
                <w:sz w:val="17"/>
              </w:rPr>
              <w:t>Guided learning</w:t>
            </w:r>
          </w:p>
        </w:tc>
        <w:tc>
          <w:tcPr>
            <w:tcW w:type="dxa" w:w="1500"/>
            <w:shd w:fill="E8EEF5"/>
            <w:vAlign w:val="center"/>
            <w:tcMar>
              <w:top w:w="80" w:type="dxa"/>
              <w:start w:w="120" w:type="dxa"/>
              <w:bottom w:w="80" w:type="dxa"/>
              <w:end w:w="120" w:type="dxa"/>
            </w:tcMar>
          </w:tcPr>
          <w:p>
            <w:pPr>
              <w:spacing w:after="0"/>
            </w:pPr>
            <w:r>
              <w:rPr>
                <w:rFonts w:ascii="Aptos" w:hAnsi="Aptos" w:eastAsia="Aptos"/>
                <w:b/>
                <w:color w:val="0B2545"/>
                <w:sz w:val="17"/>
              </w:rPr>
              <w:t>Independent practice</w:t>
            </w:r>
          </w:p>
        </w:tc>
        <w:tc>
          <w:tcPr>
            <w:tcW w:type="dxa" w:w="2910"/>
            <w:shd w:fill="E8EEF5"/>
            <w:vAlign w:val="center"/>
            <w:tcMar>
              <w:top w:w="80" w:type="dxa"/>
              <w:start w:w="120" w:type="dxa"/>
              <w:bottom w:w="80" w:type="dxa"/>
              <w:end w:w="120" w:type="dxa"/>
            </w:tcMar>
          </w:tcPr>
          <w:p>
            <w:pPr>
              <w:spacing w:after="0"/>
            </w:pPr>
            <w:r>
              <w:rPr>
                <w:rFonts w:ascii="Aptos" w:hAnsi="Aptos" w:eastAsia="Aptos"/>
                <w:b/>
                <w:color w:val="0B2545"/>
                <w:sz w:val="17"/>
              </w:rPr>
              <w:t>Primary exit performance</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7"/>
              </w:rPr>
              <w:t>1. Novice</w:t>
            </w:r>
          </w:p>
        </w:tc>
        <w:tc>
          <w:tcPr>
            <w:tcW w:type="dxa" w:w="1750"/>
            <w:vAlign w:val="top"/>
            <w:tcMar>
              <w:top w:w="80" w:type="dxa"/>
              <w:start w:w="120" w:type="dxa"/>
              <w:bottom w:w="80" w:type="dxa"/>
              <w:end w:w="120" w:type="dxa"/>
            </w:tcMar>
          </w:tcPr>
          <w:p>
            <w:pPr>
              <w:spacing w:after="0"/>
            </w:pPr>
            <w:r>
              <w:rPr>
                <w:rFonts w:ascii="Aptos" w:hAnsi="Aptos" w:eastAsia="Aptos"/>
                <w:sz w:val="17"/>
              </w:rPr>
              <w:t>CEFR-oriented A1-A2; ACTFL-style Novice to early Intermediate tasks</w:t>
            </w:r>
          </w:p>
        </w:tc>
        <w:tc>
          <w:tcPr>
            <w:tcW w:type="dxa" w:w="1500"/>
            <w:vAlign w:val="top"/>
            <w:tcMar>
              <w:top w:w="80" w:type="dxa"/>
              <w:start w:w="120" w:type="dxa"/>
              <w:bottom w:w="80" w:type="dxa"/>
              <w:end w:w="120" w:type="dxa"/>
            </w:tcMar>
          </w:tcPr>
          <w:p>
            <w:pPr>
              <w:spacing w:after="0"/>
            </w:pPr>
            <w:r>
              <w:rPr>
                <w:rFonts w:ascii="Aptos" w:hAnsi="Aptos" w:eastAsia="Aptos"/>
                <w:sz w:val="17"/>
              </w:rPr>
              <w:t>140-160 h</w:t>
            </w:r>
          </w:p>
        </w:tc>
        <w:tc>
          <w:tcPr>
            <w:tcW w:type="dxa" w:w="1500"/>
            <w:vAlign w:val="top"/>
            <w:tcMar>
              <w:top w:w="80" w:type="dxa"/>
              <w:start w:w="120" w:type="dxa"/>
              <w:bottom w:w="80" w:type="dxa"/>
              <w:end w:w="120" w:type="dxa"/>
            </w:tcMar>
          </w:tcPr>
          <w:p>
            <w:pPr>
              <w:spacing w:after="0"/>
            </w:pPr>
            <w:r>
              <w:rPr>
                <w:rFonts w:ascii="Aptos" w:hAnsi="Aptos" w:eastAsia="Aptos"/>
                <w:sz w:val="17"/>
              </w:rPr>
              <w:t>80-100 h</w:t>
            </w:r>
          </w:p>
        </w:tc>
        <w:tc>
          <w:tcPr>
            <w:tcW w:type="dxa" w:w="2910"/>
            <w:vAlign w:val="top"/>
            <w:tcMar>
              <w:top w:w="80" w:type="dxa"/>
              <w:start w:w="120" w:type="dxa"/>
              <w:bottom w:w="80" w:type="dxa"/>
              <w:end w:w="120" w:type="dxa"/>
            </w:tcMar>
          </w:tcPr>
          <w:p>
            <w:pPr>
              <w:spacing w:after="0"/>
            </w:pPr>
            <w:r>
              <w:rPr>
                <w:rFonts w:ascii="Aptos" w:hAnsi="Aptos" w:eastAsia="Aptos"/>
                <w:sz w:val="17"/>
              </w:rPr>
              <w:t>Handle predictable everyday exchanges with controlled tone and marked writing.</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7"/>
              </w:rPr>
              <w:t>2. Intermediate I</w:t>
            </w:r>
          </w:p>
        </w:tc>
        <w:tc>
          <w:tcPr>
            <w:tcW w:type="dxa" w:w="1750"/>
            <w:vAlign w:val="top"/>
            <w:tcMar>
              <w:top w:w="80" w:type="dxa"/>
              <w:start w:w="120" w:type="dxa"/>
              <w:bottom w:w="80" w:type="dxa"/>
              <w:end w:w="120" w:type="dxa"/>
            </w:tcMar>
          </w:tcPr>
          <w:p>
            <w:pPr>
              <w:spacing w:after="0"/>
            </w:pPr>
            <w:r>
              <w:rPr>
                <w:rFonts w:ascii="Aptos" w:hAnsi="Aptos" w:eastAsia="Aptos"/>
                <w:sz w:val="17"/>
              </w:rPr>
              <w:t>CEFR-oriented A2-B1</w:t>
            </w:r>
          </w:p>
        </w:tc>
        <w:tc>
          <w:tcPr>
            <w:tcW w:type="dxa" w:w="1500"/>
            <w:vAlign w:val="top"/>
            <w:tcMar>
              <w:top w:w="80" w:type="dxa"/>
              <w:start w:w="120" w:type="dxa"/>
              <w:bottom w:w="80" w:type="dxa"/>
              <w:end w:w="120" w:type="dxa"/>
            </w:tcMar>
          </w:tcPr>
          <w:p>
            <w:pPr>
              <w:spacing w:after="0"/>
            </w:pPr>
            <w:r>
              <w:rPr>
                <w:rFonts w:ascii="Aptos" w:hAnsi="Aptos" w:eastAsia="Aptos"/>
                <w:sz w:val="17"/>
              </w:rPr>
              <w:t>150-180 h</w:t>
            </w:r>
          </w:p>
        </w:tc>
        <w:tc>
          <w:tcPr>
            <w:tcW w:type="dxa" w:w="1500"/>
            <w:vAlign w:val="top"/>
            <w:tcMar>
              <w:top w:w="80" w:type="dxa"/>
              <w:start w:w="120" w:type="dxa"/>
              <w:bottom w:w="80" w:type="dxa"/>
              <w:end w:w="120" w:type="dxa"/>
            </w:tcMar>
          </w:tcPr>
          <w:p>
            <w:pPr>
              <w:spacing w:after="0"/>
            </w:pPr>
            <w:r>
              <w:rPr>
                <w:rFonts w:ascii="Aptos" w:hAnsi="Aptos" w:eastAsia="Aptos"/>
                <w:sz w:val="17"/>
              </w:rPr>
              <w:t>100-130 h</w:t>
            </w:r>
          </w:p>
        </w:tc>
        <w:tc>
          <w:tcPr>
            <w:tcW w:type="dxa" w:w="2910"/>
            <w:vAlign w:val="top"/>
            <w:tcMar>
              <w:top w:w="80" w:type="dxa"/>
              <w:start w:w="120" w:type="dxa"/>
              <w:bottom w:w="80" w:type="dxa"/>
              <w:end w:w="120" w:type="dxa"/>
            </w:tcMar>
          </w:tcPr>
          <w:p>
            <w:pPr>
              <w:spacing w:after="0"/>
            </w:pPr>
            <w:r>
              <w:rPr>
                <w:rFonts w:ascii="Aptos" w:hAnsi="Aptos" w:eastAsia="Aptos"/>
                <w:sz w:val="17"/>
              </w:rPr>
              <w:t>Sustain transactions and connected descriptions across common situations.</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7"/>
              </w:rPr>
              <w:t>3. Intermediate II</w:t>
            </w:r>
          </w:p>
        </w:tc>
        <w:tc>
          <w:tcPr>
            <w:tcW w:type="dxa" w:w="1750"/>
            <w:vAlign w:val="top"/>
            <w:tcMar>
              <w:top w:w="80" w:type="dxa"/>
              <w:start w:w="120" w:type="dxa"/>
              <w:bottom w:w="80" w:type="dxa"/>
              <w:end w:w="120" w:type="dxa"/>
            </w:tcMar>
          </w:tcPr>
          <w:p>
            <w:pPr>
              <w:spacing w:after="0"/>
            </w:pPr>
            <w:r>
              <w:rPr>
                <w:rFonts w:ascii="Aptos" w:hAnsi="Aptos" w:eastAsia="Aptos"/>
                <w:sz w:val="17"/>
              </w:rPr>
              <w:t>CEFR-oriented B1-B2</w:t>
            </w:r>
          </w:p>
        </w:tc>
        <w:tc>
          <w:tcPr>
            <w:tcW w:type="dxa" w:w="1500"/>
            <w:vAlign w:val="top"/>
            <w:tcMar>
              <w:top w:w="80" w:type="dxa"/>
              <w:start w:w="120" w:type="dxa"/>
              <w:bottom w:w="80" w:type="dxa"/>
              <w:end w:w="120" w:type="dxa"/>
            </w:tcMar>
          </w:tcPr>
          <w:p>
            <w:pPr>
              <w:spacing w:after="0"/>
            </w:pPr>
            <w:r>
              <w:rPr>
                <w:rFonts w:ascii="Aptos" w:hAnsi="Aptos" w:eastAsia="Aptos"/>
                <w:sz w:val="17"/>
              </w:rPr>
              <w:t>170-210 h</w:t>
            </w:r>
          </w:p>
        </w:tc>
        <w:tc>
          <w:tcPr>
            <w:tcW w:type="dxa" w:w="1500"/>
            <w:vAlign w:val="top"/>
            <w:tcMar>
              <w:top w:w="80" w:type="dxa"/>
              <w:start w:w="120" w:type="dxa"/>
              <w:bottom w:w="80" w:type="dxa"/>
              <w:end w:w="120" w:type="dxa"/>
            </w:tcMar>
          </w:tcPr>
          <w:p>
            <w:pPr>
              <w:spacing w:after="0"/>
            </w:pPr>
            <w:r>
              <w:rPr>
                <w:rFonts w:ascii="Aptos" w:hAnsi="Aptos" w:eastAsia="Aptos"/>
                <w:sz w:val="17"/>
              </w:rPr>
              <w:t>120-160 h</w:t>
            </w:r>
          </w:p>
        </w:tc>
        <w:tc>
          <w:tcPr>
            <w:tcW w:type="dxa" w:w="2910"/>
            <w:vAlign w:val="top"/>
            <w:tcMar>
              <w:top w:w="80" w:type="dxa"/>
              <w:start w:w="120" w:type="dxa"/>
              <w:bottom w:w="80" w:type="dxa"/>
              <w:end w:w="120" w:type="dxa"/>
            </w:tcMar>
          </w:tcPr>
          <w:p>
            <w:pPr>
              <w:spacing w:after="0"/>
            </w:pPr>
            <w:r>
              <w:rPr>
                <w:rFonts w:ascii="Aptos" w:hAnsi="Aptos" w:eastAsia="Aptos"/>
                <w:sz w:val="17"/>
              </w:rPr>
              <w:t>Read, write, and discuss literature and media with reliable orthography.</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7"/>
              </w:rPr>
              <w:t>4. Advanced</w:t>
            </w:r>
          </w:p>
        </w:tc>
        <w:tc>
          <w:tcPr>
            <w:tcW w:type="dxa" w:w="1750"/>
            <w:vAlign w:val="top"/>
            <w:tcMar>
              <w:top w:w="80" w:type="dxa"/>
              <w:start w:w="120" w:type="dxa"/>
              <w:bottom w:w="80" w:type="dxa"/>
              <w:end w:w="120" w:type="dxa"/>
            </w:tcMar>
          </w:tcPr>
          <w:p>
            <w:pPr>
              <w:spacing w:after="0"/>
            </w:pPr>
            <w:r>
              <w:rPr>
                <w:rFonts w:ascii="Aptos" w:hAnsi="Aptos" w:eastAsia="Aptos"/>
                <w:sz w:val="17"/>
              </w:rPr>
              <w:t>CEFR-oriented B2-C1/C2; advanced productive performance</w:t>
            </w:r>
          </w:p>
        </w:tc>
        <w:tc>
          <w:tcPr>
            <w:tcW w:type="dxa" w:w="1500"/>
            <w:vAlign w:val="top"/>
            <w:tcMar>
              <w:top w:w="80" w:type="dxa"/>
              <w:start w:w="120" w:type="dxa"/>
              <w:bottom w:w="80" w:type="dxa"/>
              <w:end w:w="120" w:type="dxa"/>
            </w:tcMar>
          </w:tcPr>
          <w:p>
            <w:pPr>
              <w:spacing w:after="0"/>
            </w:pPr>
            <w:r>
              <w:rPr>
                <w:rFonts w:ascii="Aptos" w:hAnsi="Aptos" w:eastAsia="Aptos"/>
                <w:sz w:val="17"/>
              </w:rPr>
              <w:t>200-260 h</w:t>
            </w:r>
          </w:p>
        </w:tc>
        <w:tc>
          <w:tcPr>
            <w:tcW w:type="dxa" w:w="1500"/>
            <w:vAlign w:val="top"/>
            <w:tcMar>
              <w:top w:w="80" w:type="dxa"/>
              <w:start w:w="120" w:type="dxa"/>
              <w:bottom w:w="80" w:type="dxa"/>
              <w:end w:w="120" w:type="dxa"/>
            </w:tcMar>
          </w:tcPr>
          <w:p>
            <w:pPr>
              <w:spacing w:after="0"/>
            </w:pPr>
            <w:r>
              <w:rPr>
                <w:rFonts w:ascii="Aptos" w:hAnsi="Aptos" w:eastAsia="Aptos"/>
                <w:sz w:val="17"/>
              </w:rPr>
              <w:t>150-220 h</w:t>
            </w:r>
          </w:p>
        </w:tc>
        <w:tc>
          <w:tcPr>
            <w:tcW w:type="dxa" w:w="2910"/>
            <w:vAlign w:val="top"/>
            <w:tcMar>
              <w:top w:w="80" w:type="dxa"/>
              <w:start w:w="120" w:type="dxa"/>
              <w:bottom w:w="80" w:type="dxa"/>
              <w:end w:w="120" w:type="dxa"/>
            </w:tcMar>
          </w:tcPr>
          <w:p>
            <w:pPr>
              <w:spacing w:after="0"/>
            </w:pPr>
            <w:r>
              <w:rPr>
                <w:rFonts w:ascii="Aptos" w:hAnsi="Aptos" w:eastAsia="Aptos"/>
                <w:sz w:val="17"/>
              </w:rPr>
              <w:t>Analyze, translate, interpret, research, and defend complex cultural/linguistic material.</w:t>
            </w:r>
          </w:p>
        </w:tc>
      </w:tr>
    </w:tbl>
    <w:p>
      <w:pPr>
        <w:pStyle w:val="Bibliography"/>
      </w:pPr>
      <w:r>
        <w:t>Mapping note: CEFR and ACTFL/Avant labels arise from different proficiency systems. The course uses them as planning lenses and does not claim an automatic score conversion or institutional credit.</w:t>
      </w:r>
    </w:p>
    <w:p>
      <w:pPr>
        <w:pStyle w:val="Heading2"/>
      </w:pPr>
      <w:r>
        <w:t>Document map</w:t>
      </w:r>
    </w:p>
    <w:p>
      <w:pPr>
        <w:pStyle w:val="ListBullet"/>
        <w:spacing w:after="80" w:line="300" w:lineRule="auto"/>
      </w:pPr>
      <w:r>
        <w:t>Part I - Curriculum foundations and institutional alignment</w:t>
      </w:r>
    </w:p>
    <w:p>
      <w:pPr>
        <w:pStyle w:val="ListBullet"/>
        <w:spacing w:after="80" w:line="300" w:lineRule="auto"/>
      </w:pPr>
      <w:r>
        <w:t>Part II - Pronunciation, tone, and standard orthography laboratory</w:t>
      </w:r>
    </w:p>
    <w:p>
      <w:pPr>
        <w:pStyle w:val="ListBullet"/>
        <w:spacing w:after="80" w:line="300" w:lineRule="auto"/>
      </w:pPr>
      <w:r>
        <w:t>Parts III-VI - Four modules with 32 sequenced units</w:t>
      </w:r>
    </w:p>
    <w:p>
      <w:pPr>
        <w:pStyle w:val="ListBullet"/>
        <w:spacing w:after="80" w:line="300" w:lineRule="auto"/>
      </w:pPr>
      <w:r>
        <w:t>Part VII - Assessment, rubrics, portfolio, and external evaluation paths</w:t>
      </w:r>
    </w:p>
    <w:p>
      <w:pPr>
        <w:pStyle w:val="ListBullet"/>
        <w:spacing w:after="80" w:line="300" w:lineRule="auto"/>
      </w:pPr>
      <w:r>
        <w:t>Part VIII - Global platform comparison and blended-learning decisions</w:t>
      </w:r>
    </w:p>
    <w:p>
      <w:pPr>
        <w:pStyle w:val="ListBullet"/>
        <w:spacing w:after="80" w:line="300" w:lineRule="auto"/>
      </w:pPr>
      <w:r>
        <w:t>Part IX - Living culture stream, media index, study templates, and source register</w:t>
      </w:r>
    </w:p>
    <w:p>
      <w:r>
        <w:br w:type="page"/>
      </w:r>
    </w:p>
    <w:p>
      <w:pPr>
        <w:pStyle w:val="Heading1"/>
      </w:pPr>
      <w:r>
        <w:t>Part I. Curriculum Foundations</w:t>
      </w:r>
    </w:p>
    <w:p>
      <w:pPr>
        <w:pStyle w:val="Heading2"/>
      </w:pPr>
      <w:r>
        <w:t>1. Design principles</w:t>
      </w:r>
    </w:p>
    <w:p>
      <w:r>
        <w:t>The academic spine follows the familiar progression visible across West African degree and immersion programmes: phonetics and elementary grammar; intermediate grammar, composition, culture, and oral/written literature; advanced syntax, semantics, discourse, translation, drama, poetry, media, philosophy, comparative languages, and research. The delivery model also adopts the four-skills, grammar-plus-communication balance described by SOAS and the practical activity-and-drill orientation published by the University of Lagos Yoruba Language and Culture Immersion Program (YLCIP).</w:t>
      </w:r>
    </w:p>
    <w:p>
      <w:pPr>
        <w:pStyle w:val="ListBullet"/>
        <w:spacing w:after="80" w:line="300" w:lineRule="auto"/>
      </w:pPr>
      <w:r>
        <w:t>Accuracy before speed: underdots, vowel quality, and tones are learned as part of the word.</w:t>
      </w:r>
    </w:p>
    <w:p>
      <w:pPr>
        <w:pStyle w:val="ListBullet"/>
        <w:spacing w:after="80" w:line="300" w:lineRule="auto"/>
      </w:pPr>
      <w:r>
        <w:t>Spiral progression: grammar and cultural themes return in more demanding genres and registers.</w:t>
      </w:r>
    </w:p>
    <w:p>
      <w:pPr>
        <w:pStyle w:val="ListBullet"/>
        <w:spacing w:after="80" w:line="300" w:lineRule="auto"/>
      </w:pPr>
      <w:r>
        <w:t>Four integrated skills: listening, speaking, reading, and writing are assessed in every module.</w:t>
      </w:r>
    </w:p>
    <w:p>
      <w:pPr>
        <w:pStyle w:val="ListBullet"/>
        <w:spacing w:after="80" w:line="300" w:lineRule="auto"/>
      </w:pPr>
      <w:r>
        <w:t>Performance plus analysis: early modules prioritize interaction; later modules add interpretation, literary analysis, translation, and research.</w:t>
      </w:r>
    </w:p>
    <w:p>
      <w:pPr>
        <w:pStyle w:val="ListBullet"/>
        <w:spacing w:after="80" w:line="300" w:lineRule="auto"/>
      </w:pPr>
      <w:r>
        <w:t>Standard-first sociolinguistics: learners recognize common reductions and unmarked digital writing without adopting them as the pedagogical base.</w:t>
      </w:r>
    </w:p>
    <w:p>
      <w:pPr>
        <w:pStyle w:val="Heading2"/>
      </w:pPr>
      <w:r>
        <w:t>2. Institutional alignment matrix</w:t>
      </w:r>
    </w:p>
    <w:tbl>
      <w:tblPr>
        <w:tblStyle w:val="TableGrid"/>
        <w:tblW w:type="dxa" w:w="9360"/>
        <w:jc w:val="left"/>
        <w:tblLayout w:type="fixed"/>
        <w:tblLook w:firstColumn="1" w:firstRow="1" w:lastColumn="0" w:lastRow="0" w:noHBand="0" w:noVBand="1" w:val="04A0"/>
        <w:tblInd w:w="120" w:type="dxa"/>
      </w:tblPr>
      <w:tblGrid>
        <w:gridCol w:w="1800"/>
        <w:gridCol w:w="3550"/>
        <w:gridCol w:w="4010"/>
      </w:tblGrid>
      <w:tr>
        <w:trPr>
          <w:tblHeader w:val="true"/>
          <w:cantSplit/>
        </w:trPr>
        <w:tc>
          <w:tcPr>
            <w:tcW w:type="dxa" w:w="1800"/>
            <w:shd w:fill="E8EEF5"/>
            <w:vAlign w:val="center"/>
            <w:tcMar>
              <w:top w:w="80" w:type="dxa"/>
              <w:start w:w="120" w:type="dxa"/>
              <w:bottom w:w="80" w:type="dxa"/>
              <w:end w:w="120" w:type="dxa"/>
            </w:tcMar>
          </w:tcPr>
          <w:p>
            <w:pPr>
              <w:spacing w:after="0"/>
            </w:pPr>
            <w:r>
              <w:rPr>
                <w:rFonts w:ascii="Aptos" w:hAnsi="Aptos" w:eastAsia="Aptos"/>
                <w:b/>
                <w:color w:val="0B2545"/>
                <w:sz w:val="16"/>
              </w:rPr>
              <w:t>Institution / pathway</w:t>
            </w:r>
          </w:p>
        </w:tc>
        <w:tc>
          <w:tcPr>
            <w:tcW w:type="dxa" w:w="3550"/>
            <w:shd w:fill="E8EEF5"/>
            <w:vAlign w:val="center"/>
            <w:tcMar>
              <w:top w:w="80" w:type="dxa"/>
              <w:start w:w="120" w:type="dxa"/>
              <w:bottom w:w="80" w:type="dxa"/>
              <w:end w:w="120" w:type="dxa"/>
            </w:tcMar>
          </w:tcPr>
          <w:p>
            <w:pPr>
              <w:spacing w:after="0"/>
            </w:pPr>
            <w:r>
              <w:rPr>
                <w:rFonts w:ascii="Aptos" w:hAnsi="Aptos" w:eastAsia="Aptos"/>
                <w:b/>
                <w:color w:val="0B2545"/>
                <w:sz w:val="16"/>
              </w:rPr>
              <w:t>Published emphasis preserved</w:t>
            </w:r>
          </w:p>
        </w:tc>
        <w:tc>
          <w:tcPr>
            <w:tcW w:type="dxa" w:w="4010"/>
            <w:shd w:fill="E8EEF5"/>
            <w:vAlign w:val="center"/>
            <w:tcMar>
              <w:top w:w="80" w:type="dxa"/>
              <w:start w:w="120" w:type="dxa"/>
              <w:bottom w:w="80" w:type="dxa"/>
              <w:end w:w="120" w:type="dxa"/>
            </w:tcMar>
          </w:tcPr>
          <w:p>
            <w:pPr>
              <w:spacing w:after="0"/>
            </w:pPr>
            <w:r>
              <w:rPr>
                <w:rFonts w:ascii="Aptos" w:hAnsi="Aptos" w:eastAsia="Aptos"/>
                <w:b/>
                <w:color w:val="0B2545"/>
                <w:sz w:val="16"/>
              </w:rPr>
              <w:t>How this course operationalizes it</w:t>
            </w:r>
          </w:p>
        </w:tc>
      </w:tr>
      <w:tr>
        <w:trPr>
          <w:cantSplit/>
        </w:trPr>
        <w:tc>
          <w:tcPr>
            <w:tcW w:type="dxa" w:w="1800"/>
            <w:vAlign w:val="top"/>
            <w:tcMar>
              <w:top w:w="80" w:type="dxa"/>
              <w:start w:w="120" w:type="dxa"/>
              <w:bottom w:w="80" w:type="dxa"/>
              <w:end w:w="120" w:type="dxa"/>
            </w:tcMar>
          </w:tcPr>
          <w:p>
            <w:pPr>
              <w:spacing w:after="0"/>
            </w:pPr>
            <w:r>
              <w:rPr>
                <w:rFonts w:ascii="Aptos" w:hAnsi="Aptos" w:eastAsia="Aptos"/>
                <w:sz w:val="16"/>
              </w:rPr>
              <w:t>Olabisi Onabanjo University (OOU)</w:t>
            </w:r>
          </w:p>
        </w:tc>
        <w:tc>
          <w:tcPr>
            <w:tcW w:type="dxa" w:w="3550"/>
            <w:vAlign w:val="top"/>
            <w:tcMar>
              <w:top w:w="80" w:type="dxa"/>
              <w:start w:w="120" w:type="dxa"/>
              <w:bottom w:w="80" w:type="dxa"/>
              <w:end w:w="120" w:type="dxa"/>
            </w:tcMar>
          </w:tcPr>
          <w:p>
            <w:pPr>
              <w:spacing w:after="0"/>
            </w:pPr>
            <w:r>
              <w:rPr>
                <w:rFonts w:ascii="Aptos" w:hAnsi="Aptos" w:eastAsia="Aptos"/>
                <w:sz w:val="16"/>
              </w:rPr>
              <w:t>Phonetics/phonology, elementary through advanced grammar, oral and written literature, culture, syntax, semantics/discourse, translation/interpretation, drama/poetry, philosophy, media, comparative African languages, research; published 70% CCMAS / 30% institutional innovation structure.</w:t>
            </w:r>
          </w:p>
        </w:tc>
        <w:tc>
          <w:tcPr>
            <w:tcW w:type="dxa" w:w="4010"/>
            <w:vAlign w:val="top"/>
            <w:tcMar>
              <w:top w:w="80" w:type="dxa"/>
              <w:start w:w="120" w:type="dxa"/>
              <w:bottom w:w="80" w:type="dxa"/>
              <w:end w:w="120" w:type="dxa"/>
            </w:tcMar>
          </w:tcPr>
          <w:p>
            <w:pPr>
              <w:spacing w:after="0"/>
            </w:pPr>
            <w:r>
              <w:rPr>
                <w:rFonts w:ascii="Aptos" w:hAnsi="Aptos" w:eastAsia="Aptos"/>
                <w:sz w:val="16"/>
              </w:rPr>
              <w:t>The four-module sequence mirrors this foundation-to-research arc; the advanced capstone integrates language, literature, culture, and field-informed analysis.</w:t>
            </w:r>
          </w:p>
        </w:tc>
      </w:tr>
      <w:tr>
        <w:trPr>
          <w:cantSplit/>
        </w:trPr>
        <w:tc>
          <w:tcPr>
            <w:tcW w:type="dxa" w:w="1800"/>
            <w:vAlign w:val="top"/>
            <w:tcMar>
              <w:top w:w="80" w:type="dxa"/>
              <w:start w:w="120" w:type="dxa"/>
              <w:bottom w:w="80" w:type="dxa"/>
              <w:end w:w="120" w:type="dxa"/>
            </w:tcMar>
          </w:tcPr>
          <w:p>
            <w:pPr>
              <w:spacing w:after="0"/>
            </w:pPr>
            <w:r>
              <w:rPr>
                <w:rFonts w:ascii="Aptos" w:hAnsi="Aptos" w:eastAsia="Aptos"/>
                <w:sz w:val="16"/>
              </w:rPr>
              <w:t>University of Ibadan Yoruba Language Centre</w:t>
            </w:r>
          </w:p>
        </w:tc>
        <w:tc>
          <w:tcPr>
            <w:tcW w:type="dxa" w:w="3550"/>
            <w:vAlign w:val="top"/>
            <w:tcMar>
              <w:top w:w="80" w:type="dxa"/>
              <w:start w:w="120" w:type="dxa"/>
              <w:bottom w:w="80" w:type="dxa"/>
              <w:end w:w="120" w:type="dxa"/>
            </w:tcMar>
          </w:tcPr>
          <w:p>
            <w:pPr>
              <w:spacing w:after="0"/>
            </w:pPr>
            <w:r>
              <w:rPr>
                <w:rFonts w:ascii="Aptos" w:hAnsi="Aptos" w:eastAsia="Aptos"/>
                <w:sz w:val="16"/>
              </w:rPr>
              <w:t>Yorùbá as a foreign language, second-language and heritage proficiency, instructor training, outdoor classes/visits, conversation tutors, multiple durations, all proficiency levels.</w:t>
            </w:r>
          </w:p>
        </w:tc>
        <w:tc>
          <w:tcPr>
            <w:tcW w:type="dxa" w:w="4010"/>
            <w:vAlign w:val="top"/>
            <w:tcMar>
              <w:top w:w="80" w:type="dxa"/>
              <w:start w:w="120" w:type="dxa"/>
              <w:bottom w:w="80" w:type="dxa"/>
              <w:end w:w="120" w:type="dxa"/>
            </w:tcMar>
          </w:tcPr>
          <w:p>
            <w:pPr>
              <w:spacing w:after="0"/>
            </w:pPr>
            <w:r>
              <w:rPr>
                <w:rFonts w:ascii="Aptos" w:hAnsi="Aptos" w:eastAsia="Aptos"/>
                <w:sz w:val="16"/>
              </w:rPr>
              <w:t>Flexible study hours, tutor moderation, field/virtual observation, and differentiated heritage/non-heritage entry diagnostics.</w:t>
            </w:r>
          </w:p>
        </w:tc>
      </w:tr>
      <w:tr>
        <w:trPr>
          <w:cantSplit/>
        </w:trPr>
        <w:tc>
          <w:tcPr>
            <w:tcW w:type="dxa" w:w="1800"/>
            <w:vAlign w:val="top"/>
            <w:tcMar>
              <w:top w:w="80" w:type="dxa"/>
              <w:start w:w="120" w:type="dxa"/>
              <w:bottom w:w="80" w:type="dxa"/>
              <w:end w:w="120" w:type="dxa"/>
            </w:tcMar>
          </w:tcPr>
          <w:p>
            <w:pPr>
              <w:spacing w:after="0"/>
            </w:pPr>
            <w:r>
              <w:rPr>
                <w:rFonts w:ascii="Aptos" w:hAnsi="Aptos" w:eastAsia="Aptos"/>
                <w:sz w:val="16"/>
              </w:rPr>
              <w:t>University of Lagos IADS / YLCIP</w:t>
            </w:r>
          </w:p>
        </w:tc>
        <w:tc>
          <w:tcPr>
            <w:tcW w:type="dxa" w:w="3550"/>
            <w:vAlign w:val="top"/>
            <w:tcMar>
              <w:top w:w="80" w:type="dxa"/>
              <w:start w:w="120" w:type="dxa"/>
              <w:bottom w:w="80" w:type="dxa"/>
              <w:end w:w="120" w:type="dxa"/>
            </w:tcMar>
          </w:tcPr>
          <w:p>
            <w:pPr>
              <w:spacing w:after="0"/>
            </w:pPr>
            <w:r>
              <w:rPr>
                <w:rFonts w:ascii="Aptos" w:hAnsi="Aptos" w:eastAsia="Aptos"/>
                <w:sz w:val="16"/>
              </w:rPr>
              <w:t>Basic greetings, identification domains, counting, home/school/hospital, foods, clothing, music, games, description, alphabet; advanced history, cities, numerals, commerce, religions, arts, theatre, folklore, political/social and healthcare systems, environment, assessment.</w:t>
            </w:r>
          </w:p>
        </w:tc>
        <w:tc>
          <w:tcPr>
            <w:tcW w:type="dxa" w:w="4010"/>
            <w:vAlign w:val="top"/>
            <w:tcMar>
              <w:top w:w="80" w:type="dxa"/>
              <w:start w:w="120" w:type="dxa"/>
              <w:bottom w:w="80" w:type="dxa"/>
              <w:end w:w="120" w:type="dxa"/>
            </w:tcMar>
          </w:tcPr>
          <w:p>
            <w:pPr>
              <w:spacing w:after="0"/>
            </w:pPr>
            <w:r>
              <w:rPr>
                <w:rFonts w:ascii="Aptos" w:hAnsi="Aptos" w:eastAsia="Aptos"/>
                <w:sz w:val="16"/>
              </w:rPr>
              <w:t>Situational modules lead into the exact cultural-system domains named by YLCIP, with analytical safeguards and a capstone.</w:t>
            </w:r>
          </w:p>
        </w:tc>
      </w:tr>
      <w:tr>
        <w:trPr>
          <w:cantSplit/>
        </w:trPr>
        <w:tc>
          <w:tcPr>
            <w:tcW w:type="dxa" w:w="1800"/>
            <w:vAlign w:val="top"/>
            <w:tcMar>
              <w:top w:w="80" w:type="dxa"/>
              <w:start w:w="120" w:type="dxa"/>
              <w:bottom w:w="80" w:type="dxa"/>
              <w:end w:w="120" w:type="dxa"/>
            </w:tcMar>
          </w:tcPr>
          <w:p>
            <w:pPr>
              <w:spacing w:after="0"/>
            </w:pPr>
            <w:r>
              <w:rPr>
                <w:rFonts w:ascii="Aptos" w:hAnsi="Aptos" w:eastAsia="Aptos"/>
                <w:sz w:val="16"/>
              </w:rPr>
              <w:t>SOAS University of London</w:t>
            </w:r>
          </w:p>
        </w:tc>
        <w:tc>
          <w:tcPr>
            <w:tcW w:type="dxa" w:w="3550"/>
            <w:vAlign w:val="top"/>
            <w:tcMar>
              <w:top w:w="80" w:type="dxa"/>
              <w:start w:w="120" w:type="dxa"/>
              <w:bottom w:w="80" w:type="dxa"/>
              <w:end w:w="120" w:type="dxa"/>
            </w:tcMar>
          </w:tcPr>
          <w:p>
            <w:pPr>
              <w:spacing w:after="0"/>
            </w:pPr>
            <w:r>
              <w:rPr>
                <w:rFonts w:ascii="Aptos" w:hAnsi="Aptos" w:eastAsia="Aptos"/>
                <w:sz w:val="16"/>
              </w:rPr>
              <w:t>Contemporary Yorùbá; cultural appropriateness and etiquette; speaking/listening/reading/writing; communicative activities plus structure and grammar; three beginner sub-levels including market, transport, BBC Yorùbá, folktales, riddles, proverbs, email, recipes, rites and professions.</w:t>
            </w:r>
          </w:p>
        </w:tc>
        <w:tc>
          <w:tcPr>
            <w:tcW w:type="dxa" w:w="4010"/>
            <w:vAlign w:val="top"/>
            <w:tcMar>
              <w:top w:w="80" w:type="dxa"/>
              <w:start w:w="120" w:type="dxa"/>
              <w:bottom w:w="80" w:type="dxa"/>
              <w:end w:w="120" w:type="dxa"/>
            </w:tcMar>
          </w:tcPr>
          <w:p>
            <w:pPr>
              <w:spacing w:after="0"/>
            </w:pPr>
            <w:r>
              <w:rPr>
                <w:rFonts w:ascii="Aptos" w:hAnsi="Aptos" w:eastAsia="Aptos"/>
                <w:sz w:val="16"/>
              </w:rPr>
              <w:t>A sequenced Western-university short-course rhythm with can-do outcomes, weekly guided independent learning, and integrated culture.</w:t>
            </w:r>
          </w:p>
        </w:tc>
      </w:tr>
      <w:tr>
        <w:trPr>
          <w:cantSplit/>
        </w:trPr>
        <w:tc>
          <w:tcPr>
            <w:tcW w:type="dxa" w:w="1800"/>
            <w:vAlign w:val="top"/>
            <w:tcMar>
              <w:top w:w="80" w:type="dxa"/>
              <w:start w:w="120" w:type="dxa"/>
              <w:bottom w:w="80" w:type="dxa"/>
              <w:end w:w="120" w:type="dxa"/>
            </w:tcMar>
          </w:tcPr>
          <w:p>
            <w:pPr>
              <w:spacing w:after="0"/>
            </w:pPr>
            <w:r>
              <w:rPr>
                <w:rFonts w:ascii="Aptos" w:hAnsi="Aptos" w:eastAsia="Aptos"/>
                <w:sz w:val="16"/>
              </w:rPr>
              <w:t>NINLAN</w:t>
            </w:r>
          </w:p>
        </w:tc>
        <w:tc>
          <w:tcPr>
            <w:tcW w:type="dxa" w:w="3550"/>
            <w:vAlign w:val="top"/>
            <w:tcMar>
              <w:top w:w="80" w:type="dxa"/>
              <w:start w:w="120" w:type="dxa"/>
              <w:bottom w:w="80" w:type="dxa"/>
              <w:end w:w="120" w:type="dxa"/>
            </w:tcMar>
          </w:tcPr>
          <w:p>
            <w:pPr>
              <w:spacing w:after="0"/>
            </w:pPr>
            <w:r>
              <w:rPr>
                <w:rFonts w:ascii="Aptos" w:hAnsi="Aptos" w:eastAsia="Aptos"/>
                <w:sz w:val="16"/>
              </w:rPr>
              <w:t>Linguistics and Nigerian languages, translation studies, education, research, acculturation, distance learning, and professional language careers.</w:t>
            </w:r>
          </w:p>
        </w:tc>
        <w:tc>
          <w:tcPr>
            <w:tcW w:type="dxa" w:w="4010"/>
            <w:vAlign w:val="top"/>
            <w:tcMar>
              <w:top w:w="80" w:type="dxa"/>
              <w:start w:w="120" w:type="dxa"/>
              <w:bottom w:w="80" w:type="dxa"/>
              <w:end w:w="120" w:type="dxa"/>
            </w:tcMar>
          </w:tcPr>
          <w:p>
            <w:pPr>
              <w:spacing w:after="0"/>
            </w:pPr>
            <w:r>
              <w:rPr>
                <w:rFonts w:ascii="Aptos" w:hAnsi="Aptos" w:eastAsia="Aptos"/>
                <w:sz w:val="16"/>
              </w:rPr>
              <w:t>Advanced translation/interpreting, comparative linguistics, teacher/research options, and explicit research methods.</w:t>
            </w:r>
          </w:p>
        </w:tc>
      </w:tr>
    </w:tbl>
    <w:p>
      <w:pPr>
        <w:pStyle w:val="Heading2"/>
      </w:pPr>
      <w:r>
        <w:t>3. Weekly learning architecture</w:t>
      </w:r>
    </w:p>
    <w:tbl>
      <w:tblPr>
        <w:tblStyle w:val="TableGrid"/>
        <w:tblW w:type="dxa" w:w="9360"/>
        <w:jc w:val="left"/>
        <w:tblLayout w:type="fixed"/>
        <w:tblLook w:firstColumn="1" w:firstRow="1" w:lastColumn="0" w:lastRow="0" w:noHBand="0" w:noVBand="1" w:val="04A0"/>
        <w:tblInd w:w="120" w:type="dxa"/>
      </w:tblPr>
      <w:tblGrid>
        <w:gridCol w:w="1350"/>
        <w:gridCol w:w="4750"/>
        <w:gridCol w:w="3260"/>
      </w:tblGrid>
      <w:tr>
        <w:trPr>
          <w:tblHeader w:val="true"/>
          <w:cantSplit/>
        </w:trPr>
        <w:tc>
          <w:tcPr>
            <w:tcW w:type="dxa" w:w="1350"/>
            <w:shd w:fill="E8EEF5"/>
            <w:vAlign w:val="center"/>
            <w:tcMar>
              <w:top w:w="80" w:type="dxa"/>
              <w:start w:w="120" w:type="dxa"/>
              <w:bottom w:w="80" w:type="dxa"/>
              <w:end w:w="120" w:type="dxa"/>
            </w:tcMar>
          </w:tcPr>
          <w:p>
            <w:pPr>
              <w:spacing w:after="0"/>
            </w:pPr>
            <w:r>
              <w:rPr>
                <w:rFonts w:ascii="Aptos" w:hAnsi="Aptos" w:eastAsia="Aptos"/>
                <w:b/>
                <w:color w:val="0B2545"/>
                <w:sz w:val="18"/>
              </w:rPr>
              <w:t>Session</w:t>
            </w:r>
          </w:p>
        </w:tc>
        <w:tc>
          <w:tcPr>
            <w:tcW w:type="dxa" w:w="4750"/>
            <w:shd w:fill="E8EEF5"/>
            <w:vAlign w:val="center"/>
            <w:tcMar>
              <w:top w:w="80" w:type="dxa"/>
              <w:start w:w="120" w:type="dxa"/>
              <w:bottom w:w="80" w:type="dxa"/>
              <w:end w:w="120" w:type="dxa"/>
            </w:tcMar>
          </w:tcPr>
          <w:p>
            <w:pPr>
              <w:spacing w:after="0"/>
            </w:pPr>
            <w:r>
              <w:rPr>
                <w:rFonts w:ascii="Aptos" w:hAnsi="Aptos" w:eastAsia="Aptos"/>
                <w:b/>
                <w:color w:val="0B2545"/>
                <w:sz w:val="18"/>
              </w:rPr>
              <w:t>Core work</w:t>
            </w:r>
          </w:p>
        </w:tc>
        <w:tc>
          <w:tcPr>
            <w:tcW w:type="dxa" w:w="3260"/>
            <w:shd w:fill="E8EEF5"/>
            <w:vAlign w:val="center"/>
            <w:tcMar>
              <w:top w:w="80" w:type="dxa"/>
              <w:start w:w="120" w:type="dxa"/>
              <w:bottom w:w="80" w:type="dxa"/>
              <w:end w:w="120" w:type="dxa"/>
            </w:tcMar>
          </w:tcPr>
          <w:p>
            <w:pPr>
              <w:spacing w:after="0"/>
            </w:pPr>
            <w:r>
              <w:rPr>
                <w:rFonts w:ascii="Aptos" w:hAnsi="Aptos" w:eastAsia="Aptos"/>
                <w:b/>
                <w:color w:val="0B2545"/>
                <w:sz w:val="18"/>
              </w:rPr>
              <w:t>Evidence</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Daily 45-70 min</w:t>
            </w:r>
          </w:p>
        </w:tc>
        <w:tc>
          <w:tcPr>
            <w:tcW w:type="dxa" w:w="4750"/>
            <w:vAlign w:val="top"/>
            <w:tcMar>
              <w:top w:w="80" w:type="dxa"/>
              <w:start w:w="120" w:type="dxa"/>
              <w:bottom w:w="80" w:type="dxa"/>
              <w:end w:w="120" w:type="dxa"/>
            </w:tcMar>
          </w:tcPr>
          <w:p>
            <w:pPr>
              <w:spacing w:after="0"/>
            </w:pPr>
            <w:r>
              <w:rPr>
                <w:rFonts w:ascii="Aptos" w:hAnsi="Aptos" w:eastAsia="Aptos"/>
                <w:sz w:val="18"/>
              </w:rPr>
              <w:t>15 min tone/pronunciation; 15 min input; 15 min drills; 10 min talk-along/shadowing; 10 min spaced review.</w:t>
            </w:r>
          </w:p>
        </w:tc>
        <w:tc>
          <w:tcPr>
            <w:tcW w:type="dxa" w:w="3260"/>
            <w:vAlign w:val="top"/>
            <w:tcMar>
              <w:top w:w="80" w:type="dxa"/>
              <w:start w:w="120" w:type="dxa"/>
              <w:bottom w:w="80" w:type="dxa"/>
              <w:end w:w="120" w:type="dxa"/>
            </w:tcMar>
          </w:tcPr>
          <w:p>
            <w:pPr>
              <w:spacing w:after="0"/>
            </w:pPr>
            <w:r>
              <w:rPr>
                <w:rFonts w:ascii="Aptos" w:hAnsi="Aptos" w:eastAsia="Aptos"/>
                <w:sz w:val="18"/>
              </w:rPr>
              <w:t>Error log + SRS review record</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Weekly receptive task</w:t>
            </w:r>
          </w:p>
        </w:tc>
        <w:tc>
          <w:tcPr>
            <w:tcW w:type="dxa" w:w="4750"/>
            <w:vAlign w:val="top"/>
            <w:tcMar>
              <w:top w:w="80" w:type="dxa"/>
              <w:start w:w="120" w:type="dxa"/>
              <w:bottom w:w="80" w:type="dxa"/>
              <w:end w:w="120" w:type="dxa"/>
            </w:tcMar>
          </w:tcPr>
          <w:p>
            <w:pPr>
              <w:spacing w:after="0"/>
            </w:pPr>
            <w:r>
              <w:rPr>
                <w:rFonts w:ascii="Aptos" w:hAnsi="Aptos" w:eastAsia="Aptos"/>
                <w:sz w:val="18"/>
              </w:rPr>
              <w:t>One marked text and one audio/media segment at level.</w:t>
            </w:r>
          </w:p>
        </w:tc>
        <w:tc>
          <w:tcPr>
            <w:tcW w:type="dxa" w:w="3260"/>
            <w:vAlign w:val="top"/>
            <w:tcMar>
              <w:top w:w="80" w:type="dxa"/>
              <w:start w:w="120" w:type="dxa"/>
              <w:bottom w:w="80" w:type="dxa"/>
              <w:end w:w="120" w:type="dxa"/>
            </w:tcMar>
          </w:tcPr>
          <w:p>
            <w:pPr>
              <w:spacing w:after="0"/>
            </w:pPr>
            <w:r>
              <w:rPr>
                <w:rFonts w:ascii="Aptos" w:hAnsi="Aptos" w:eastAsia="Aptos"/>
                <w:sz w:val="18"/>
              </w:rPr>
              <w:t>Annotated text + listening notes</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Weekly output Friday</w:t>
            </w:r>
          </w:p>
        </w:tc>
        <w:tc>
          <w:tcPr>
            <w:tcW w:type="dxa" w:w="4750"/>
            <w:vAlign w:val="top"/>
            <w:tcMar>
              <w:top w:w="80" w:type="dxa"/>
              <w:start w:w="120" w:type="dxa"/>
              <w:bottom w:w="80" w:type="dxa"/>
              <w:end w:w="120" w:type="dxa"/>
            </w:tcMar>
          </w:tcPr>
          <w:p>
            <w:pPr>
              <w:spacing w:after="0"/>
            </w:pPr>
            <w:r>
              <w:rPr>
                <w:rFonts w:ascii="Aptos" w:hAnsi="Aptos" w:eastAsia="Aptos"/>
                <w:sz w:val="18"/>
              </w:rPr>
              <w:t>One voice note and one fully marked paragraph.</w:t>
            </w:r>
          </w:p>
        </w:tc>
        <w:tc>
          <w:tcPr>
            <w:tcW w:type="dxa" w:w="3260"/>
            <w:vAlign w:val="top"/>
            <w:tcMar>
              <w:top w:w="80" w:type="dxa"/>
              <w:start w:w="120" w:type="dxa"/>
              <w:bottom w:w="80" w:type="dxa"/>
              <w:end w:w="120" w:type="dxa"/>
            </w:tcMar>
          </w:tcPr>
          <w:p>
            <w:pPr>
              <w:spacing w:after="0"/>
            </w:pPr>
            <w:r>
              <w:rPr>
                <w:rFonts w:ascii="Aptos" w:hAnsi="Aptos" w:eastAsia="Aptos"/>
                <w:sz w:val="18"/>
              </w:rPr>
              <w:t>Portfolio recording + tutor/self correction</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Fortnightly interaction</w:t>
            </w:r>
          </w:p>
        </w:tc>
        <w:tc>
          <w:tcPr>
            <w:tcW w:type="dxa" w:w="4750"/>
            <w:vAlign w:val="top"/>
            <w:tcMar>
              <w:top w:w="80" w:type="dxa"/>
              <w:start w:w="120" w:type="dxa"/>
              <w:bottom w:w="80" w:type="dxa"/>
              <w:end w:w="120" w:type="dxa"/>
            </w:tcMar>
          </w:tcPr>
          <w:p>
            <w:pPr>
              <w:spacing w:after="0"/>
            </w:pPr>
            <w:r>
              <w:rPr>
                <w:rFonts w:ascii="Aptos" w:hAnsi="Aptos" w:eastAsia="Aptos"/>
                <w:sz w:val="18"/>
              </w:rPr>
              <w:t>Tutor or partner role-play; solo learners record both roles with a delay.</w:t>
            </w:r>
          </w:p>
        </w:tc>
        <w:tc>
          <w:tcPr>
            <w:tcW w:type="dxa" w:w="3260"/>
            <w:vAlign w:val="top"/>
            <w:tcMar>
              <w:top w:w="80" w:type="dxa"/>
              <w:start w:w="120" w:type="dxa"/>
              <w:bottom w:w="80" w:type="dxa"/>
              <w:end w:w="120" w:type="dxa"/>
            </w:tcMar>
          </w:tcPr>
          <w:p>
            <w:pPr>
              <w:spacing w:after="0"/>
            </w:pPr>
            <w:r>
              <w:rPr>
                <w:rFonts w:ascii="Aptos" w:hAnsi="Aptos" w:eastAsia="Aptos"/>
                <w:sz w:val="18"/>
              </w:rPr>
              <w:t>Interaction rubric</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End of unit</w:t>
            </w:r>
          </w:p>
        </w:tc>
        <w:tc>
          <w:tcPr>
            <w:tcW w:type="dxa" w:w="4750"/>
            <w:vAlign w:val="top"/>
            <w:tcMar>
              <w:top w:w="80" w:type="dxa"/>
              <w:start w:w="120" w:type="dxa"/>
              <w:bottom w:w="80" w:type="dxa"/>
              <w:end w:w="120" w:type="dxa"/>
            </w:tcMar>
          </w:tcPr>
          <w:p>
            <w:pPr>
              <w:spacing w:after="0"/>
            </w:pPr>
            <w:r>
              <w:rPr>
                <w:rFonts w:ascii="Aptos" w:hAnsi="Aptos" w:eastAsia="Aptos"/>
                <w:sz w:val="18"/>
              </w:rPr>
              <w:t>Short integrated quiz; retraining required below 70% overall or below the tone floor.</w:t>
            </w:r>
          </w:p>
        </w:tc>
        <w:tc>
          <w:tcPr>
            <w:tcW w:type="dxa" w:w="3260"/>
            <w:vAlign w:val="top"/>
            <w:tcMar>
              <w:top w:w="80" w:type="dxa"/>
              <w:start w:w="120" w:type="dxa"/>
              <w:bottom w:w="80" w:type="dxa"/>
              <w:end w:w="120" w:type="dxa"/>
            </w:tcMar>
          </w:tcPr>
          <w:p>
            <w:pPr>
              <w:spacing w:after="0"/>
            </w:pPr>
            <w:r>
              <w:rPr>
                <w:rFonts w:ascii="Aptos" w:hAnsi="Aptos" w:eastAsia="Aptos"/>
                <w:sz w:val="18"/>
              </w:rPr>
              <w:t>Quiz + correction memo</w:t>
            </w:r>
          </w:p>
        </w:tc>
      </w:tr>
    </w:tbl>
    <w:p>
      <w:pPr>
        <w:pStyle w:val="Heading2"/>
      </w:pPr>
      <w:r>
        <w:t>4. Assessment policy</w:t>
      </w:r>
    </w:p>
    <w:p>
      <w:pPr>
        <w:pStyle w:val="ListBullet"/>
        <w:spacing w:after="80" w:line="300" w:lineRule="auto"/>
      </w:pPr>
      <w:r>
        <w:t>Module grade: listening 20%, speaking 25%, reading 20%, writing 25%, cultural/analytical task 10%.</w:t>
      </w:r>
    </w:p>
    <w:p>
      <w:pPr>
        <w:pStyle w:val="ListBullet"/>
        <w:spacing w:after="80" w:line="300" w:lineRule="auto"/>
      </w:pPr>
      <w:r>
        <w:t>Pronunciation/tone floor: at least 65% in Module 1, 70% in Module 2, 75% in Module 3, and 80% in Module 4 on meaning-bearing tone and vowel-quality items.</w:t>
      </w:r>
    </w:p>
    <w:p>
      <w:pPr>
        <w:pStyle w:val="ListBullet"/>
        <w:spacing w:after="80" w:line="300" w:lineRule="auto"/>
      </w:pPr>
      <w:r>
        <w:t>Pass threshold: 70% overall and completion of every portfolio category. A high overall mark cannot compensate for missing speaking evidence.</w:t>
      </w:r>
    </w:p>
    <w:p>
      <w:pPr>
        <w:pStyle w:val="ListBullet"/>
        <w:spacing w:after="80" w:line="300" w:lineRule="auto"/>
      </w:pPr>
      <w:r>
        <w:t>Revision rule: every failed tone, orthography, or register item is corrected, explained, and re-recorded/re-written within seven days.</w:t>
      </w:r>
    </w:p>
    <w:p>
      <w:pPr>
        <w:pStyle w:val="ListBullet"/>
        <w:spacing w:after="80" w:line="300" w:lineRule="auto"/>
      </w:pPr>
      <w:r>
        <w:t>Certification language: completion certificates should say 'course completion' or 'moderated portfolio result,' never 'WAEC,' 'Avant,' or university credit unless issued by the relevant body.</w:t>
      </w:r>
    </w:p>
    <w:p>
      <w:pPr>
        <w:pStyle w:val="Heading1"/>
        <w:pageBreakBefore/>
      </w:pPr>
      <w:r>
        <w:t>Part II. Pronunciation, Tone &amp; Orthography Laboratory</w:t>
      </w:r>
    </w:p>
    <w:p>
      <w:pPr>
        <w:pStyle w:val="Heading2"/>
      </w:pPr>
      <w:r>
        <w:t>1. Standard Yorùbá alphabet</w:t>
      </w:r>
    </w:p>
    <w:p>
      <w:r>
        <w:t>The course uses the standard 25-letter sequence below. The digraph gb represents one alphabetic unit. The letters c, q, v, x, and z are not part of the core Standard Yorùbá alphabet.</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E8EEF5"/>
          </w:tcPr>
          <w:p>
            <w:pPr>
              <w:spacing w:after="0"/>
            </w:pPr>
            <w:r>
              <w:rPr>
                <w:rFonts w:ascii="Aptos" w:hAnsi="Aptos" w:eastAsia="Aptos"/>
                <w:b/>
                <w:color w:val="0B2545"/>
              </w:rPr>
              <w:t xml:space="preserve">25 LETTERS </w:t>
            </w:r>
            <w:r>
              <w:t>a, b, d, e, ẹ, f, g, gb, h, i, j, k, l, m, n, o, ọ, p, r, s, ṣ, t, u, w, y</w:t>
            </w:r>
          </w:p>
        </w:tc>
      </w:tr>
    </w:tbl>
    <w:p>
      <w:pPr>
        <w:spacing w:after="0"/>
      </w:pPr>
    </w:p>
    <w:p>
      <w:pPr>
        <w:pStyle w:val="Heading2"/>
      </w:pPr>
      <w:r>
        <w:t>2. Seven oral vowels and critical contrasts</w:t>
      </w:r>
    </w:p>
    <w:tbl>
      <w:tblPr>
        <w:tblStyle w:val="TableGrid"/>
        <w:tblW w:type="dxa" w:w="9360"/>
        <w:jc w:val="left"/>
        <w:tblLayout w:type="fixed"/>
        <w:tblLook w:firstColumn="1" w:firstRow="1" w:lastColumn="0" w:lastRow="0" w:noHBand="0" w:noVBand="1" w:val="04A0"/>
        <w:tblInd w:w="120" w:type="dxa"/>
      </w:tblPr>
      <w:tblGrid>
        <w:gridCol w:w="900"/>
        <w:gridCol w:w="1350"/>
        <w:gridCol w:w="4000"/>
        <w:gridCol w:w="3110"/>
      </w:tblGrid>
      <w:tr>
        <w:trPr>
          <w:tblHeader w:val="true"/>
          <w:cantSplit/>
        </w:trPr>
        <w:tc>
          <w:tcPr>
            <w:tcW w:type="dxa" w:w="900"/>
            <w:shd w:fill="E8EEF5"/>
            <w:vAlign w:val="center"/>
            <w:tcMar>
              <w:top w:w="80" w:type="dxa"/>
              <w:start w:w="120" w:type="dxa"/>
              <w:bottom w:w="80" w:type="dxa"/>
              <w:end w:w="120" w:type="dxa"/>
            </w:tcMar>
          </w:tcPr>
          <w:p>
            <w:pPr>
              <w:spacing w:after="0"/>
            </w:pPr>
            <w:r>
              <w:rPr>
                <w:rFonts w:ascii="Aptos" w:hAnsi="Aptos" w:eastAsia="Aptos"/>
                <w:b/>
                <w:color w:val="0B2545"/>
                <w:sz w:val="18"/>
              </w:rPr>
              <w:t>Letter</w:t>
            </w:r>
          </w:p>
        </w:tc>
        <w:tc>
          <w:tcPr>
            <w:tcW w:type="dxa" w:w="1350"/>
            <w:shd w:fill="E8EEF5"/>
            <w:vAlign w:val="center"/>
            <w:tcMar>
              <w:top w:w="80" w:type="dxa"/>
              <w:start w:w="120" w:type="dxa"/>
              <w:bottom w:w="80" w:type="dxa"/>
              <w:end w:w="120" w:type="dxa"/>
            </w:tcMar>
          </w:tcPr>
          <w:p>
            <w:pPr>
              <w:spacing w:after="0"/>
            </w:pPr>
            <w:r>
              <w:rPr>
                <w:rFonts w:ascii="Aptos" w:hAnsi="Aptos" w:eastAsia="Aptos"/>
                <w:b/>
                <w:color w:val="0B2545"/>
                <w:sz w:val="18"/>
              </w:rPr>
              <w:t>Approximate IPA</w:t>
            </w:r>
          </w:p>
        </w:tc>
        <w:tc>
          <w:tcPr>
            <w:tcW w:type="dxa" w:w="4000"/>
            <w:shd w:fill="E8EEF5"/>
            <w:vAlign w:val="center"/>
            <w:tcMar>
              <w:top w:w="80" w:type="dxa"/>
              <w:start w:w="120" w:type="dxa"/>
              <w:bottom w:w="80" w:type="dxa"/>
              <w:end w:w="120" w:type="dxa"/>
            </w:tcMar>
          </w:tcPr>
          <w:p>
            <w:pPr>
              <w:spacing w:after="0"/>
            </w:pPr>
            <w:r>
              <w:rPr>
                <w:rFonts w:ascii="Aptos" w:hAnsi="Aptos" w:eastAsia="Aptos"/>
                <w:b/>
                <w:color w:val="0B2545"/>
                <w:sz w:val="18"/>
              </w:rPr>
              <w:t>English-oriented cue</w:t>
            </w:r>
          </w:p>
        </w:tc>
        <w:tc>
          <w:tcPr>
            <w:tcW w:type="dxa" w:w="3110"/>
            <w:shd w:fill="E8EEF5"/>
            <w:vAlign w:val="center"/>
            <w:tcMar>
              <w:top w:w="80" w:type="dxa"/>
              <w:start w:w="120" w:type="dxa"/>
              <w:bottom w:w="80" w:type="dxa"/>
              <w:end w:w="120" w:type="dxa"/>
            </w:tcMar>
          </w:tcPr>
          <w:p>
            <w:pPr>
              <w:spacing w:after="0"/>
            </w:pPr>
            <w:r>
              <w:rPr>
                <w:rFonts w:ascii="Aptos" w:hAnsi="Aptos" w:eastAsia="Aptos"/>
                <w:b/>
                <w:color w:val="0B2545"/>
                <w:sz w:val="18"/>
              </w:rPr>
              <w:t>Do not confuse</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i</w:t>
            </w:r>
          </w:p>
        </w:tc>
        <w:tc>
          <w:tcPr>
            <w:tcW w:type="dxa" w:w="1350"/>
            <w:vAlign w:val="top"/>
            <w:tcMar>
              <w:top w:w="80" w:type="dxa"/>
              <w:start w:w="120" w:type="dxa"/>
              <w:bottom w:w="80" w:type="dxa"/>
              <w:end w:w="120" w:type="dxa"/>
            </w:tcMar>
          </w:tcPr>
          <w:p>
            <w:pPr>
              <w:spacing w:after="0"/>
            </w:pPr>
            <w:r>
              <w:rPr>
                <w:rFonts w:ascii="Aptos" w:hAnsi="Aptos" w:eastAsia="Aptos"/>
                <w:sz w:val="18"/>
              </w:rPr>
              <w:t>/i/</w:t>
            </w:r>
          </w:p>
        </w:tc>
        <w:tc>
          <w:tcPr>
            <w:tcW w:type="dxa" w:w="4000"/>
            <w:vAlign w:val="top"/>
            <w:tcMar>
              <w:top w:w="80" w:type="dxa"/>
              <w:start w:w="120" w:type="dxa"/>
              <w:bottom w:w="80" w:type="dxa"/>
              <w:end w:w="120" w:type="dxa"/>
            </w:tcMar>
          </w:tcPr>
          <w:p>
            <w:pPr>
              <w:spacing w:after="0"/>
            </w:pPr>
            <w:r>
              <w:rPr>
                <w:rFonts w:ascii="Aptos" w:hAnsi="Aptos" w:eastAsia="Aptos"/>
                <w:sz w:val="18"/>
              </w:rPr>
              <w:t>vowel in 'machine'</w:t>
            </w:r>
          </w:p>
        </w:tc>
        <w:tc>
          <w:tcPr>
            <w:tcW w:type="dxa" w:w="3110"/>
            <w:vAlign w:val="top"/>
            <w:tcMar>
              <w:top w:w="80" w:type="dxa"/>
              <w:start w:w="120" w:type="dxa"/>
              <w:bottom w:w="80" w:type="dxa"/>
              <w:end w:w="120" w:type="dxa"/>
            </w:tcMar>
          </w:tcPr>
          <w:p>
            <w:pPr>
              <w:spacing w:after="0"/>
            </w:pPr>
            <w:r>
              <w:rPr>
                <w:rFonts w:ascii="Aptos" w:hAnsi="Aptos" w:eastAsia="Aptos"/>
                <w:sz w:val="18"/>
              </w:rPr>
              <w:t>Not English lax /ɪ/</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e</w:t>
            </w:r>
          </w:p>
        </w:tc>
        <w:tc>
          <w:tcPr>
            <w:tcW w:type="dxa" w:w="1350"/>
            <w:vAlign w:val="top"/>
            <w:tcMar>
              <w:top w:w="80" w:type="dxa"/>
              <w:start w:w="120" w:type="dxa"/>
              <w:bottom w:w="80" w:type="dxa"/>
              <w:end w:w="120" w:type="dxa"/>
            </w:tcMar>
          </w:tcPr>
          <w:p>
            <w:pPr>
              <w:spacing w:after="0"/>
            </w:pPr>
            <w:r>
              <w:rPr>
                <w:rFonts w:ascii="Aptos" w:hAnsi="Aptos" w:eastAsia="Aptos"/>
                <w:sz w:val="18"/>
              </w:rPr>
              <w:t>/e/</w:t>
            </w:r>
          </w:p>
        </w:tc>
        <w:tc>
          <w:tcPr>
            <w:tcW w:type="dxa" w:w="4000"/>
            <w:vAlign w:val="top"/>
            <w:tcMar>
              <w:top w:w="80" w:type="dxa"/>
              <w:start w:w="120" w:type="dxa"/>
              <w:bottom w:w="80" w:type="dxa"/>
              <w:end w:w="120" w:type="dxa"/>
            </w:tcMar>
          </w:tcPr>
          <w:p>
            <w:pPr>
              <w:spacing w:after="0"/>
            </w:pPr>
            <w:r>
              <w:rPr>
                <w:rFonts w:ascii="Aptos" w:hAnsi="Aptos" w:eastAsia="Aptos"/>
                <w:sz w:val="18"/>
              </w:rPr>
              <w:t>close-mid front; keep it pure</w:t>
            </w:r>
          </w:p>
        </w:tc>
        <w:tc>
          <w:tcPr>
            <w:tcW w:type="dxa" w:w="3110"/>
            <w:vAlign w:val="top"/>
            <w:tcMar>
              <w:top w:w="80" w:type="dxa"/>
              <w:start w:w="120" w:type="dxa"/>
              <w:bottom w:w="80" w:type="dxa"/>
              <w:end w:w="120" w:type="dxa"/>
            </w:tcMar>
          </w:tcPr>
          <w:p>
            <w:pPr>
              <w:spacing w:after="0"/>
            </w:pPr>
            <w:r>
              <w:rPr>
                <w:rFonts w:ascii="Aptos" w:hAnsi="Aptos" w:eastAsia="Aptos"/>
                <w:sz w:val="18"/>
              </w:rPr>
              <w:t>ẹ /ɛ/</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ẹ</w:t>
            </w:r>
          </w:p>
        </w:tc>
        <w:tc>
          <w:tcPr>
            <w:tcW w:type="dxa" w:w="1350"/>
            <w:vAlign w:val="top"/>
            <w:tcMar>
              <w:top w:w="80" w:type="dxa"/>
              <w:start w:w="120" w:type="dxa"/>
              <w:bottom w:w="80" w:type="dxa"/>
              <w:end w:w="120" w:type="dxa"/>
            </w:tcMar>
          </w:tcPr>
          <w:p>
            <w:pPr>
              <w:spacing w:after="0"/>
            </w:pPr>
            <w:r>
              <w:rPr>
                <w:rFonts w:ascii="Aptos" w:hAnsi="Aptos" w:eastAsia="Aptos"/>
                <w:sz w:val="18"/>
              </w:rPr>
              <w:t>/ɛ/</w:t>
            </w:r>
          </w:p>
        </w:tc>
        <w:tc>
          <w:tcPr>
            <w:tcW w:type="dxa" w:w="4000"/>
            <w:vAlign w:val="top"/>
            <w:tcMar>
              <w:top w:w="80" w:type="dxa"/>
              <w:start w:w="120" w:type="dxa"/>
              <w:bottom w:w="80" w:type="dxa"/>
              <w:end w:w="120" w:type="dxa"/>
            </w:tcMar>
          </w:tcPr>
          <w:p>
            <w:pPr>
              <w:spacing w:after="0"/>
            </w:pPr>
            <w:r>
              <w:rPr>
                <w:rFonts w:ascii="Aptos" w:hAnsi="Aptos" w:eastAsia="Aptos"/>
                <w:sz w:val="18"/>
              </w:rPr>
              <w:t>roughly vowel in 'get'</w:t>
            </w:r>
          </w:p>
        </w:tc>
        <w:tc>
          <w:tcPr>
            <w:tcW w:type="dxa" w:w="3110"/>
            <w:vAlign w:val="top"/>
            <w:tcMar>
              <w:top w:w="80" w:type="dxa"/>
              <w:start w:w="120" w:type="dxa"/>
              <w:bottom w:w="80" w:type="dxa"/>
              <w:end w:w="120" w:type="dxa"/>
            </w:tcMar>
          </w:tcPr>
          <w:p>
            <w:pPr>
              <w:spacing w:after="0"/>
            </w:pPr>
            <w:r>
              <w:rPr>
                <w:rFonts w:ascii="Aptos" w:hAnsi="Aptos" w:eastAsia="Aptos"/>
                <w:sz w:val="18"/>
              </w:rPr>
              <w:t>e /e/</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a</w:t>
            </w:r>
          </w:p>
        </w:tc>
        <w:tc>
          <w:tcPr>
            <w:tcW w:type="dxa" w:w="1350"/>
            <w:vAlign w:val="top"/>
            <w:tcMar>
              <w:top w:w="80" w:type="dxa"/>
              <w:start w:w="120" w:type="dxa"/>
              <w:bottom w:w="80" w:type="dxa"/>
              <w:end w:w="120" w:type="dxa"/>
            </w:tcMar>
          </w:tcPr>
          <w:p>
            <w:pPr>
              <w:spacing w:after="0"/>
            </w:pPr>
            <w:r>
              <w:rPr>
                <w:rFonts w:ascii="Aptos" w:hAnsi="Aptos" w:eastAsia="Aptos"/>
                <w:sz w:val="18"/>
              </w:rPr>
              <w:t>/a/</w:t>
            </w:r>
          </w:p>
        </w:tc>
        <w:tc>
          <w:tcPr>
            <w:tcW w:type="dxa" w:w="4000"/>
            <w:vAlign w:val="top"/>
            <w:tcMar>
              <w:top w:w="80" w:type="dxa"/>
              <w:start w:w="120" w:type="dxa"/>
              <w:bottom w:w="80" w:type="dxa"/>
              <w:end w:w="120" w:type="dxa"/>
            </w:tcMar>
          </w:tcPr>
          <w:p>
            <w:pPr>
              <w:spacing w:after="0"/>
            </w:pPr>
            <w:r>
              <w:rPr>
                <w:rFonts w:ascii="Aptos" w:hAnsi="Aptos" w:eastAsia="Aptos"/>
                <w:sz w:val="18"/>
              </w:rPr>
              <w:t>open central/front vowel</w:t>
            </w:r>
          </w:p>
        </w:tc>
        <w:tc>
          <w:tcPr>
            <w:tcW w:type="dxa" w:w="3110"/>
            <w:vAlign w:val="top"/>
            <w:tcMar>
              <w:top w:w="80" w:type="dxa"/>
              <w:start w:w="120" w:type="dxa"/>
              <w:bottom w:w="80" w:type="dxa"/>
              <w:end w:w="120" w:type="dxa"/>
            </w:tcMar>
          </w:tcPr>
          <w:p>
            <w:pPr>
              <w:spacing w:after="0"/>
            </w:pPr>
            <w:r>
              <w:rPr>
                <w:rFonts w:ascii="Aptos" w:hAnsi="Aptos" w:eastAsia="Aptos"/>
                <w:sz w:val="18"/>
              </w:rPr>
              <w:t>English schwa</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ọ</w:t>
            </w:r>
          </w:p>
        </w:tc>
        <w:tc>
          <w:tcPr>
            <w:tcW w:type="dxa" w:w="1350"/>
            <w:vAlign w:val="top"/>
            <w:tcMar>
              <w:top w:w="80" w:type="dxa"/>
              <w:start w:w="120" w:type="dxa"/>
              <w:bottom w:w="80" w:type="dxa"/>
              <w:end w:w="120" w:type="dxa"/>
            </w:tcMar>
          </w:tcPr>
          <w:p>
            <w:pPr>
              <w:spacing w:after="0"/>
            </w:pPr>
            <w:r>
              <w:rPr>
                <w:rFonts w:ascii="Aptos" w:hAnsi="Aptos" w:eastAsia="Aptos"/>
                <w:sz w:val="18"/>
              </w:rPr>
              <w:t>/ɔ/</w:t>
            </w:r>
          </w:p>
        </w:tc>
        <w:tc>
          <w:tcPr>
            <w:tcW w:type="dxa" w:w="4000"/>
            <w:vAlign w:val="top"/>
            <w:tcMar>
              <w:top w:w="80" w:type="dxa"/>
              <w:start w:w="120" w:type="dxa"/>
              <w:bottom w:w="80" w:type="dxa"/>
              <w:end w:w="120" w:type="dxa"/>
            </w:tcMar>
          </w:tcPr>
          <w:p>
            <w:pPr>
              <w:spacing w:after="0"/>
            </w:pPr>
            <w:r>
              <w:rPr>
                <w:rFonts w:ascii="Aptos" w:hAnsi="Aptos" w:eastAsia="Aptos"/>
                <w:sz w:val="18"/>
              </w:rPr>
              <w:t>roughly vowel in 'thought/pot', accent-dependent</w:t>
            </w:r>
          </w:p>
        </w:tc>
        <w:tc>
          <w:tcPr>
            <w:tcW w:type="dxa" w:w="3110"/>
            <w:vAlign w:val="top"/>
            <w:tcMar>
              <w:top w:w="80" w:type="dxa"/>
              <w:start w:w="120" w:type="dxa"/>
              <w:bottom w:w="80" w:type="dxa"/>
              <w:end w:w="120" w:type="dxa"/>
            </w:tcMar>
          </w:tcPr>
          <w:p>
            <w:pPr>
              <w:spacing w:after="0"/>
            </w:pPr>
            <w:r>
              <w:rPr>
                <w:rFonts w:ascii="Aptos" w:hAnsi="Aptos" w:eastAsia="Aptos"/>
                <w:sz w:val="18"/>
              </w:rPr>
              <w:t>o /o/</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o</w:t>
            </w:r>
          </w:p>
        </w:tc>
        <w:tc>
          <w:tcPr>
            <w:tcW w:type="dxa" w:w="1350"/>
            <w:vAlign w:val="top"/>
            <w:tcMar>
              <w:top w:w="80" w:type="dxa"/>
              <w:start w:w="120" w:type="dxa"/>
              <w:bottom w:w="80" w:type="dxa"/>
              <w:end w:w="120" w:type="dxa"/>
            </w:tcMar>
          </w:tcPr>
          <w:p>
            <w:pPr>
              <w:spacing w:after="0"/>
            </w:pPr>
            <w:r>
              <w:rPr>
                <w:rFonts w:ascii="Aptos" w:hAnsi="Aptos" w:eastAsia="Aptos"/>
                <w:sz w:val="18"/>
              </w:rPr>
              <w:t>/o/</w:t>
            </w:r>
          </w:p>
        </w:tc>
        <w:tc>
          <w:tcPr>
            <w:tcW w:type="dxa" w:w="4000"/>
            <w:vAlign w:val="top"/>
            <w:tcMar>
              <w:top w:w="80" w:type="dxa"/>
              <w:start w:w="120" w:type="dxa"/>
              <w:bottom w:w="80" w:type="dxa"/>
              <w:end w:w="120" w:type="dxa"/>
            </w:tcMar>
          </w:tcPr>
          <w:p>
            <w:pPr>
              <w:spacing w:after="0"/>
            </w:pPr>
            <w:r>
              <w:rPr>
                <w:rFonts w:ascii="Aptos" w:hAnsi="Aptos" w:eastAsia="Aptos"/>
                <w:sz w:val="18"/>
              </w:rPr>
              <w:t>close-mid back; keep it pure</w:t>
            </w:r>
          </w:p>
        </w:tc>
        <w:tc>
          <w:tcPr>
            <w:tcW w:type="dxa" w:w="3110"/>
            <w:vAlign w:val="top"/>
            <w:tcMar>
              <w:top w:w="80" w:type="dxa"/>
              <w:start w:w="120" w:type="dxa"/>
              <w:bottom w:w="80" w:type="dxa"/>
              <w:end w:w="120" w:type="dxa"/>
            </w:tcMar>
          </w:tcPr>
          <w:p>
            <w:pPr>
              <w:spacing w:after="0"/>
            </w:pPr>
            <w:r>
              <w:rPr>
                <w:rFonts w:ascii="Aptos" w:hAnsi="Aptos" w:eastAsia="Aptos"/>
                <w:sz w:val="18"/>
              </w:rPr>
              <w:t>ọ /ɔ/</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8"/>
              </w:rPr>
              <w:t>u</w:t>
            </w:r>
          </w:p>
        </w:tc>
        <w:tc>
          <w:tcPr>
            <w:tcW w:type="dxa" w:w="1350"/>
            <w:vAlign w:val="top"/>
            <w:tcMar>
              <w:top w:w="80" w:type="dxa"/>
              <w:start w:w="120" w:type="dxa"/>
              <w:bottom w:w="80" w:type="dxa"/>
              <w:end w:w="120" w:type="dxa"/>
            </w:tcMar>
          </w:tcPr>
          <w:p>
            <w:pPr>
              <w:spacing w:after="0"/>
            </w:pPr>
            <w:r>
              <w:rPr>
                <w:rFonts w:ascii="Aptos" w:hAnsi="Aptos" w:eastAsia="Aptos"/>
                <w:sz w:val="18"/>
              </w:rPr>
              <w:t>/u/</w:t>
            </w:r>
          </w:p>
        </w:tc>
        <w:tc>
          <w:tcPr>
            <w:tcW w:type="dxa" w:w="4000"/>
            <w:vAlign w:val="top"/>
            <w:tcMar>
              <w:top w:w="80" w:type="dxa"/>
              <w:start w:w="120" w:type="dxa"/>
              <w:bottom w:w="80" w:type="dxa"/>
              <w:end w:w="120" w:type="dxa"/>
            </w:tcMar>
          </w:tcPr>
          <w:p>
            <w:pPr>
              <w:spacing w:after="0"/>
            </w:pPr>
            <w:r>
              <w:rPr>
                <w:rFonts w:ascii="Aptos" w:hAnsi="Aptos" w:eastAsia="Aptos"/>
                <w:sz w:val="18"/>
              </w:rPr>
              <w:t>vowel in 'rule'</w:t>
            </w:r>
          </w:p>
        </w:tc>
        <w:tc>
          <w:tcPr>
            <w:tcW w:type="dxa" w:w="3110"/>
            <w:vAlign w:val="top"/>
            <w:tcMar>
              <w:top w:w="80" w:type="dxa"/>
              <w:start w:w="120" w:type="dxa"/>
              <w:bottom w:w="80" w:type="dxa"/>
              <w:end w:w="120" w:type="dxa"/>
            </w:tcMar>
          </w:tcPr>
          <w:p>
            <w:pPr>
              <w:spacing w:after="0"/>
            </w:pPr>
            <w:r>
              <w:rPr>
                <w:rFonts w:ascii="Aptos" w:hAnsi="Aptos" w:eastAsia="Aptos"/>
                <w:sz w:val="18"/>
              </w:rPr>
              <w:t>English diphthongization</w:t>
            </w:r>
          </w:p>
        </w:tc>
      </w:tr>
    </w:tbl>
    <w:p>
      <w:r>
        <w:t>Nasal vowels are written with Vn in the pedagogical convention used here: in, ẹn, an, ọn, un. The learner must distinguish a nasal vowel from an oral vowel followed by an independently released /n/. Tutor audio is required for reliable discrimination.</w:t>
      </w:r>
    </w:p>
    <w:p>
      <w:pPr>
        <w:pStyle w:val="Heading2"/>
      </w:pPr>
      <w:r>
        <w:t>3. Consonants English speakers must retrain</w:t>
      </w:r>
    </w:p>
    <w:tbl>
      <w:tblPr>
        <w:tblStyle w:val="TableGrid"/>
        <w:tblW w:type="dxa" w:w="9360"/>
        <w:jc w:val="left"/>
        <w:tblLayout w:type="fixed"/>
        <w:tblLook w:firstColumn="1" w:firstRow="1" w:lastColumn="0" w:lastRow="0" w:noHBand="0" w:noVBand="1" w:val="04A0"/>
        <w:tblInd w:w="120" w:type="dxa"/>
      </w:tblPr>
      <w:tblGrid>
        <w:gridCol w:w="1100"/>
        <w:gridCol w:w="1200"/>
        <w:gridCol w:w="4300"/>
        <w:gridCol w:w="2760"/>
      </w:tblGrid>
      <w:tr>
        <w:trPr>
          <w:tblHeader w:val="true"/>
          <w:cantSplit/>
        </w:trPr>
        <w:tc>
          <w:tcPr>
            <w:tcW w:type="dxa" w:w="1100"/>
            <w:shd w:fill="E8EEF5"/>
            <w:vAlign w:val="center"/>
            <w:tcMar>
              <w:top w:w="80" w:type="dxa"/>
              <w:start w:w="120" w:type="dxa"/>
              <w:bottom w:w="80" w:type="dxa"/>
              <w:end w:w="120" w:type="dxa"/>
            </w:tcMar>
          </w:tcPr>
          <w:p>
            <w:pPr>
              <w:spacing w:after="0"/>
            </w:pPr>
            <w:r>
              <w:rPr>
                <w:rFonts w:ascii="Aptos" w:hAnsi="Aptos" w:eastAsia="Aptos"/>
                <w:b/>
                <w:color w:val="0B2545"/>
                <w:sz w:val="18"/>
              </w:rPr>
              <w:t>Contrast</w:t>
            </w:r>
          </w:p>
        </w:tc>
        <w:tc>
          <w:tcPr>
            <w:tcW w:type="dxa" w:w="1200"/>
            <w:shd w:fill="E8EEF5"/>
            <w:vAlign w:val="center"/>
            <w:tcMar>
              <w:top w:w="80" w:type="dxa"/>
              <w:start w:w="120" w:type="dxa"/>
              <w:bottom w:w="80" w:type="dxa"/>
              <w:end w:w="120" w:type="dxa"/>
            </w:tcMar>
          </w:tcPr>
          <w:p>
            <w:pPr>
              <w:spacing w:after="0"/>
            </w:pPr>
            <w:r>
              <w:rPr>
                <w:rFonts w:ascii="Aptos" w:hAnsi="Aptos" w:eastAsia="Aptos"/>
                <w:b/>
                <w:color w:val="0B2545"/>
                <w:sz w:val="18"/>
              </w:rPr>
              <w:t>Target</w:t>
            </w:r>
          </w:p>
        </w:tc>
        <w:tc>
          <w:tcPr>
            <w:tcW w:type="dxa" w:w="4300"/>
            <w:shd w:fill="E8EEF5"/>
            <w:vAlign w:val="center"/>
            <w:tcMar>
              <w:top w:w="80" w:type="dxa"/>
              <w:start w:w="120" w:type="dxa"/>
              <w:bottom w:w="80" w:type="dxa"/>
              <w:end w:w="120" w:type="dxa"/>
            </w:tcMar>
          </w:tcPr>
          <w:p>
            <w:pPr>
              <w:spacing w:after="0"/>
            </w:pPr>
            <w:r>
              <w:rPr>
                <w:rFonts w:ascii="Aptos" w:hAnsi="Aptos" w:eastAsia="Aptos"/>
                <w:b/>
                <w:color w:val="0B2545"/>
                <w:sz w:val="18"/>
              </w:rPr>
              <w:t>Practice cue</w:t>
            </w:r>
          </w:p>
        </w:tc>
        <w:tc>
          <w:tcPr>
            <w:tcW w:type="dxa" w:w="2760"/>
            <w:shd w:fill="E8EEF5"/>
            <w:vAlign w:val="center"/>
            <w:tcMar>
              <w:top w:w="80" w:type="dxa"/>
              <w:start w:w="120" w:type="dxa"/>
              <w:bottom w:w="80" w:type="dxa"/>
              <w:end w:w="120" w:type="dxa"/>
            </w:tcMar>
          </w:tcPr>
          <w:p>
            <w:pPr>
              <w:spacing w:after="0"/>
            </w:pPr>
            <w:r>
              <w:rPr>
                <w:rFonts w:ascii="Aptos" w:hAnsi="Aptos" w:eastAsia="Aptos"/>
                <w:b/>
                <w:color w:val="0B2545"/>
                <w:sz w:val="18"/>
              </w:rPr>
              <w:t>Common error</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8"/>
              </w:rPr>
              <w:t>s / ṣ</w:t>
            </w:r>
          </w:p>
        </w:tc>
        <w:tc>
          <w:tcPr>
            <w:tcW w:type="dxa" w:w="1200"/>
            <w:vAlign w:val="top"/>
            <w:tcMar>
              <w:top w:w="80" w:type="dxa"/>
              <w:start w:w="120" w:type="dxa"/>
              <w:bottom w:w="80" w:type="dxa"/>
              <w:end w:w="120" w:type="dxa"/>
            </w:tcMar>
          </w:tcPr>
          <w:p>
            <w:pPr>
              <w:spacing w:after="0"/>
            </w:pPr>
            <w:r>
              <w:rPr>
                <w:rFonts w:ascii="Aptos" w:hAnsi="Aptos" w:eastAsia="Aptos"/>
                <w:sz w:val="18"/>
              </w:rPr>
              <w:t>s / ṣ [sh]</w:t>
            </w:r>
          </w:p>
        </w:tc>
        <w:tc>
          <w:tcPr>
            <w:tcW w:type="dxa" w:w="4300"/>
            <w:vAlign w:val="top"/>
            <w:tcMar>
              <w:top w:w="80" w:type="dxa"/>
              <w:start w:w="120" w:type="dxa"/>
              <w:bottom w:w="80" w:type="dxa"/>
              <w:end w:w="120" w:type="dxa"/>
            </w:tcMar>
          </w:tcPr>
          <w:p>
            <w:pPr>
              <w:spacing w:after="0"/>
            </w:pPr>
            <w:r>
              <w:rPr>
                <w:rFonts w:ascii="Aptos" w:hAnsi="Aptos" w:eastAsia="Aptos"/>
                <w:sz w:val="18"/>
              </w:rPr>
              <w:t>Alternate a narrow groove /s/ with the 'sh' posture.</w:t>
            </w:r>
          </w:p>
        </w:tc>
        <w:tc>
          <w:tcPr>
            <w:tcW w:type="dxa" w:w="2760"/>
            <w:vAlign w:val="top"/>
            <w:tcMar>
              <w:top w:w="80" w:type="dxa"/>
              <w:start w:w="120" w:type="dxa"/>
              <w:bottom w:w="80" w:type="dxa"/>
              <w:end w:w="120" w:type="dxa"/>
            </w:tcMar>
          </w:tcPr>
          <w:p>
            <w:pPr>
              <w:spacing w:after="0"/>
            </w:pPr>
            <w:r>
              <w:rPr>
                <w:rFonts w:ascii="Aptos" w:hAnsi="Aptos" w:eastAsia="Aptos"/>
                <w:sz w:val="18"/>
              </w:rPr>
              <w:t>Writing or saying s for ṣ.</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8"/>
              </w:rPr>
              <w:t>p</w:t>
            </w:r>
          </w:p>
        </w:tc>
        <w:tc>
          <w:tcPr>
            <w:tcW w:type="dxa" w:w="1200"/>
            <w:vAlign w:val="top"/>
            <w:tcMar>
              <w:top w:w="80" w:type="dxa"/>
              <w:start w:w="120" w:type="dxa"/>
              <w:bottom w:w="80" w:type="dxa"/>
              <w:end w:w="120" w:type="dxa"/>
            </w:tcMar>
          </w:tcPr>
          <w:p>
            <w:pPr>
              <w:spacing w:after="0"/>
            </w:pPr>
            <w:r>
              <w:rPr>
                <w:rFonts w:ascii="Aptos" w:hAnsi="Aptos" w:eastAsia="Aptos"/>
                <w:sz w:val="18"/>
              </w:rPr>
              <w:t>[kp]</w:t>
            </w:r>
          </w:p>
        </w:tc>
        <w:tc>
          <w:tcPr>
            <w:tcW w:type="dxa" w:w="4300"/>
            <w:vAlign w:val="top"/>
            <w:tcMar>
              <w:top w:w="80" w:type="dxa"/>
              <w:start w:w="120" w:type="dxa"/>
              <w:bottom w:w="80" w:type="dxa"/>
              <w:end w:w="120" w:type="dxa"/>
            </w:tcMar>
          </w:tcPr>
          <w:p>
            <w:pPr>
              <w:spacing w:after="0"/>
            </w:pPr>
            <w:r>
              <w:rPr>
                <w:rFonts w:ascii="Aptos" w:hAnsi="Aptos" w:eastAsia="Aptos"/>
                <w:sz w:val="18"/>
              </w:rPr>
              <w:t>Close the back and lips together; release as one gesture.</w:t>
            </w:r>
          </w:p>
        </w:tc>
        <w:tc>
          <w:tcPr>
            <w:tcW w:type="dxa" w:w="2760"/>
            <w:vAlign w:val="top"/>
            <w:tcMar>
              <w:top w:w="80" w:type="dxa"/>
              <w:start w:w="120" w:type="dxa"/>
              <w:bottom w:w="80" w:type="dxa"/>
              <w:end w:w="120" w:type="dxa"/>
            </w:tcMar>
          </w:tcPr>
          <w:p>
            <w:pPr>
              <w:spacing w:after="0"/>
            </w:pPr>
            <w:r>
              <w:rPr>
                <w:rFonts w:ascii="Aptos" w:hAnsi="Aptos" w:eastAsia="Aptos"/>
                <w:sz w:val="18"/>
              </w:rPr>
              <w:t>English /p/ alone.</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8"/>
              </w:rPr>
              <w:t>gb</w:t>
            </w:r>
          </w:p>
        </w:tc>
        <w:tc>
          <w:tcPr>
            <w:tcW w:type="dxa" w:w="1200"/>
            <w:vAlign w:val="top"/>
            <w:tcMar>
              <w:top w:w="80" w:type="dxa"/>
              <w:start w:w="120" w:type="dxa"/>
              <w:bottom w:w="80" w:type="dxa"/>
              <w:end w:w="120" w:type="dxa"/>
            </w:tcMar>
          </w:tcPr>
          <w:p>
            <w:pPr>
              <w:spacing w:after="0"/>
            </w:pPr>
            <w:r>
              <w:rPr>
                <w:rFonts w:ascii="Aptos" w:hAnsi="Aptos" w:eastAsia="Aptos"/>
                <w:sz w:val="18"/>
              </w:rPr>
              <w:t>[gb]</w:t>
            </w:r>
          </w:p>
        </w:tc>
        <w:tc>
          <w:tcPr>
            <w:tcW w:type="dxa" w:w="4300"/>
            <w:vAlign w:val="top"/>
            <w:tcMar>
              <w:top w:w="80" w:type="dxa"/>
              <w:start w:w="120" w:type="dxa"/>
              <w:bottom w:w="80" w:type="dxa"/>
              <w:end w:w="120" w:type="dxa"/>
            </w:tcMar>
          </w:tcPr>
          <w:p>
            <w:pPr>
              <w:spacing w:after="0"/>
            </w:pPr>
            <w:r>
              <w:rPr>
                <w:rFonts w:ascii="Aptos" w:hAnsi="Aptos" w:eastAsia="Aptos"/>
                <w:sz w:val="18"/>
              </w:rPr>
              <w:t>Voice a simultaneous back-plus-lip closure; not a sequence 'g-b'.</w:t>
            </w:r>
          </w:p>
        </w:tc>
        <w:tc>
          <w:tcPr>
            <w:tcW w:type="dxa" w:w="2760"/>
            <w:vAlign w:val="top"/>
            <w:tcMar>
              <w:top w:w="80" w:type="dxa"/>
              <w:start w:w="120" w:type="dxa"/>
              <w:bottom w:w="80" w:type="dxa"/>
              <w:end w:w="120" w:type="dxa"/>
            </w:tcMar>
          </w:tcPr>
          <w:p>
            <w:pPr>
              <w:spacing w:after="0"/>
            </w:pPr>
            <w:r>
              <w:rPr>
                <w:rFonts w:ascii="Aptos" w:hAnsi="Aptos" w:eastAsia="Aptos"/>
                <w:sz w:val="18"/>
              </w:rPr>
              <w:t>Two separate consonants.</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8"/>
              </w:rPr>
              <w:t>r</w:t>
            </w:r>
          </w:p>
        </w:tc>
        <w:tc>
          <w:tcPr>
            <w:tcW w:type="dxa" w:w="1200"/>
            <w:vAlign w:val="top"/>
            <w:tcMar>
              <w:top w:w="80" w:type="dxa"/>
              <w:start w:w="120" w:type="dxa"/>
              <w:bottom w:w="80" w:type="dxa"/>
              <w:end w:w="120" w:type="dxa"/>
            </w:tcMar>
          </w:tcPr>
          <w:p>
            <w:pPr>
              <w:spacing w:after="0"/>
            </w:pPr>
            <w:r>
              <w:rPr>
                <w:rFonts w:ascii="Aptos" w:hAnsi="Aptos" w:eastAsia="Aptos"/>
                <w:sz w:val="18"/>
              </w:rPr>
              <w:t>brief tap in careful standard speech</w:t>
            </w:r>
          </w:p>
        </w:tc>
        <w:tc>
          <w:tcPr>
            <w:tcW w:type="dxa" w:w="4300"/>
            <w:vAlign w:val="top"/>
            <w:tcMar>
              <w:top w:w="80" w:type="dxa"/>
              <w:start w:w="120" w:type="dxa"/>
              <w:bottom w:w="80" w:type="dxa"/>
              <w:end w:w="120" w:type="dxa"/>
            </w:tcMar>
          </w:tcPr>
          <w:p>
            <w:pPr>
              <w:spacing w:after="0"/>
            </w:pPr>
            <w:r>
              <w:rPr>
                <w:rFonts w:ascii="Aptos" w:hAnsi="Aptos" w:eastAsia="Aptos"/>
                <w:sz w:val="18"/>
              </w:rPr>
              <w:t>Use a single light tongue contact; accept coached regional variation.</w:t>
            </w:r>
          </w:p>
        </w:tc>
        <w:tc>
          <w:tcPr>
            <w:tcW w:type="dxa" w:w="2760"/>
            <w:vAlign w:val="top"/>
            <w:tcMar>
              <w:top w:w="80" w:type="dxa"/>
              <w:start w:w="120" w:type="dxa"/>
              <w:bottom w:w="80" w:type="dxa"/>
              <w:end w:w="120" w:type="dxa"/>
            </w:tcMar>
          </w:tcPr>
          <w:p>
            <w:pPr>
              <w:spacing w:after="0"/>
            </w:pPr>
            <w:r>
              <w:rPr>
                <w:rFonts w:ascii="Aptos" w:hAnsi="Aptos" w:eastAsia="Aptos"/>
                <w:sz w:val="18"/>
              </w:rPr>
              <w:t>Heavy English r as the only target.</w:t>
            </w:r>
          </w:p>
        </w:tc>
      </w:tr>
    </w:tbl>
    <w:p>
      <w:pPr>
        <w:pStyle w:val="Heading2"/>
      </w:pPr>
      <w:r>
        <w:t>4. The three tones</w:t>
      </w:r>
    </w:p>
    <w:tbl>
      <w:tblPr>
        <w:tblStyle w:val="TableGrid"/>
        <w:tblW w:type="dxa" w:w="9360"/>
        <w:jc w:val="left"/>
        <w:tblLayout w:type="fixed"/>
        <w:tblLook w:firstColumn="1" w:firstRow="1" w:lastColumn="0" w:lastRow="0" w:noHBand="0" w:noVBand="1" w:val="04A0"/>
        <w:tblInd w:w="120" w:type="dxa"/>
      </w:tblPr>
      <w:tblGrid>
        <w:gridCol w:w="1350"/>
        <w:gridCol w:w="1750"/>
        <w:gridCol w:w="1600"/>
        <w:gridCol w:w="4660"/>
      </w:tblGrid>
      <w:tr>
        <w:trPr>
          <w:tblHeader w:val="true"/>
          <w:cantSplit/>
        </w:trPr>
        <w:tc>
          <w:tcPr>
            <w:tcW w:type="dxa" w:w="1350"/>
            <w:shd w:fill="E8EEF5"/>
            <w:vAlign w:val="center"/>
            <w:tcMar>
              <w:top w:w="80" w:type="dxa"/>
              <w:start w:w="120" w:type="dxa"/>
              <w:bottom w:w="80" w:type="dxa"/>
              <w:end w:w="120" w:type="dxa"/>
            </w:tcMar>
          </w:tcPr>
          <w:p>
            <w:pPr>
              <w:spacing w:after="0"/>
            </w:pPr>
            <w:r>
              <w:rPr>
                <w:rFonts w:ascii="Aptos" w:hAnsi="Aptos" w:eastAsia="Aptos"/>
                <w:b/>
                <w:color w:val="0B2545"/>
                <w:sz w:val="18"/>
              </w:rPr>
              <w:t>Tone</w:t>
            </w:r>
          </w:p>
        </w:tc>
        <w:tc>
          <w:tcPr>
            <w:tcW w:type="dxa" w:w="1750"/>
            <w:shd w:fill="E8EEF5"/>
            <w:vAlign w:val="center"/>
            <w:tcMar>
              <w:top w:w="80" w:type="dxa"/>
              <w:start w:w="120" w:type="dxa"/>
              <w:bottom w:w="80" w:type="dxa"/>
              <w:end w:w="120" w:type="dxa"/>
            </w:tcMar>
          </w:tcPr>
          <w:p>
            <w:pPr>
              <w:spacing w:after="0"/>
            </w:pPr>
            <w:r>
              <w:rPr>
                <w:rFonts w:ascii="Aptos" w:hAnsi="Aptos" w:eastAsia="Aptos"/>
                <w:b/>
                <w:color w:val="0B2545"/>
                <w:sz w:val="18"/>
              </w:rPr>
              <w:t>Mark</w:t>
            </w:r>
          </w:p>
        </w:tc>
        <w:tc>
          <w:tcPr>
            <w:tcW w:type="dxa" w:w="1600"/>
            <w:shd w:fill="E8EEF5"/>
            <w:vAlign w:val="center"/>
            <w:tcMar>
              <w:top w:w="80" w:type="dxa"/>
              <w:start w:w="120" w:type="dxa"/>
              <w:bottom w:w="80" w:type="dxa"/>
              <w:end w:w="120" w:type="dxa"/>
            </w:tcMar>
          </w:tcPr>
          <w:p>
            <w:pPr>
              <w:spacing w:after="0"/>
            </w:pPr>
            <w:r>
              <w:rPr>
                <w:rFonts w:ascii="Aptos" w:hAnsi="Aptos" w:eastAsia="Aptos"/>
                <w:b/>
                <w:color w:val="0B2545"/>
                <w:sz w:val="18"/>
              </w:rPr>
              <w:t>Learner handle</w:t>
            </w:r>
          </w:p>
        </w:tc>
        <w:tc>
          <w:tcPr>
            <w:tcW w:type="dxa" w:w="4660"/>
            <w:shd w:fill="E8EEF5"/>
            <w:vAlign w:val="center"/>
            <w:tcMar>
              <w:top w:w="80" w:type="dxa"/>
              <w:start w:w="120" w:type="dxa"/>
              <w:bottom w:w="80" w:type="dxa"/>
              <w:end w:w="120" w:type="dxa"/>
            </w:tcMar>
          </w:tcPr>
          <w:p>
            <w:pPr>
              <w:spacing w:after="0"/>
            </w:pPr>
            <w:r>
              <w:rPr>
                <w:rFonts w:ascii="Aptos" w:hAnsi="Aptos" w:eastAsia="Aptos"/>
                <w:b/>
                <w:color w:val="0B2545"/>
                <w:sz w:val="18"/>
              </w:rPr>
              <w:t>Rule</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High</w:t>
            </w:r>
          </w:p>
        </w:tc>
        <w:tc>
          <w:tcPr>
            <w:tcW w:type="dxa" w:w="1750"/>
            <w:vAlign w:val="top"/>
            <w:tcMar>
              <w:top w:w="80" w:type="dxa"/>
              <w:start w:w="120" w:type="dxa"/>
              <w:bottom w:w="80" w:type="dxa"/>
              <w:end w:w="120" w:type="dxa"/>
            </w:tcMar>
          </w:tcPr>
          <w:p>
            <w:pPr>
              <w:spacing w:after="0"/>
            </w:pPr>
            <w:r>
              <w:rPr>
                <w:rFonts w:ascii="Aptos" w:hAnsi="Aptos" w:eastAsia="Aptos"/>
                <w:sz w:val="18"/>
              </w:rPr>
              <w:t>acute: á</w:t>
            </w:r>
          </w:p>
        </w:tc>
        <w:tc>
          <w:tcPr>
            <w:tcW w:type="dxa" w:w="1600"/>
            <w:vAlign w:val="top"/>
            <w:tcMar>
              <w:top w:w="80" w:type="dxa"/>
              <w:start w:w="120" w:type="dxa"/>
              <w:bottom w:w="80" w:type="dxa"/>
              <w:end w:w="120" w:type="dxa"/>
            </w:tcMar>
          </w:tcPr>
          <w:p>
            <w:pPr>
              <w:spacing w:after="0"/>
            </w:pPr>
            <w:r>
              <w:rPr>
                <w:rFonts w:ascii="Aptos" w:hAnsi="Aptos" w:eastAsia="Aptos"/>
                <w:sz w:val="18"/>
              </w:rPr>
              <w:t>mi</w:t>
            </w:r>
          </w:p>
        </w:tc>
        <w:tc>
          <w:tcPr>
            <w:tcW w:type="dxa" w:w="4660"/>
            <w:vAlign w:val="top"/>
            <w:tcMar>
              <w:top w:w="80" w:type="dxa"/>
              <w:start w:w="120" w:type="dxa"/>
              <w:bottom w:w="80" w:type="dxa"/>
              <w:end w:w="120" w:type="dxa"/>
            </w:tcMar>
          </w:tcPr>
          <w:p>
            <w:pPr>
              <w:spacing w:after="0"/>
            </w:pPr>
            <w:r>
              <w:rPr>
                <w:rFonts w:ascii="Aptos" w:hAnsi="Aptos" w:eastAsia="Aptos"/>
                <w:sz w:val="18"/>
              </w:rPr>
              <w:t>Mark the vowel (or syllabic nasal) with an acute accent.</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Mid</w:t>
            </w:r>
          </w:p>
        </w:tc>
        <w:tc>
          <w:tcPr>
            <w:tcW w:type="dxa" w:w="1750"/>
            <w:vAlign w:val="top"/>
            <w:tcMar>
              <w:top w:w="80" w:type="dxa"/>
              <w:start w:w="120" w:type="dxa"/>
              <w:bottom w:w="80" w:type="dxa"/>
              <w:end w:w="120" w:type="dxa"/>
            </w:tcMar>
          </w:tcPr>
          <w:p>
            <w:pPr>
              <w:spacing w:after="0"/>
            </w:pPr>
            <w:r>
              <w:rPr>
                <w:rFonts w:ascii="Aptos" w:hAnsi="Aptos" w:eastAsia="Aptos"/>
                <w:sz w:val="18"/>
              </w:rPr>
              <w:t>normally unmarked: a</w:t>
            </w:r>
          </w:p>
        </w:tc>
        <w:tc>
          <w:tcPr>
            <w:tcW w:type="dxa" w:w="1600"/>
            <w:vAlign w:val="top"/>
            <w:tcMar>
              <w:top w:w="80" w:type="dxa"/>
              <w:start w:w="120" w:type="dxa"/>
              <w:bottom w:w="80" w:type="dxa"/>
              <w:end w:w="120" w:type="dxa"/>
            </w:tcMar>
          </w:tcPr>
          <w:p>
            <w:pPr>
              <w:spacing w:after="0"/>
            </w:pPr>
            <w:r>
              <w:rPr>
                <w:rFonts w:ascii="Aptos" w:hAnsi="Aptos" w:eastAsia="Aptos"/>
                <w:sz w:val="18"/>
              </w:rPr>
              <w:t>re</w:t>
            </w:r>
          </w:p>
        </w:tc>
        <w:tc>
          <w:tcPr>
            <w:tcW w:type="dxa" w:w="4660"/>
            <w:vAlign w:val="top"/>
            <w:tcMar>
              <w:top w:w="80" w:type="dxa"/>
              <w:start w:w="120" w:type="dxa"/>
              <w:bottom w:w="80" w:type="dxa"/>
              <w:end w:w="120" w:type="dxa"/>
            </w:tcMar>
          </w:tcPr>
          <w:p>
            <w:pPr>
              <w:spacing w:after="0"/>
            </w:pPr>
            <w:r>
              <w:rPr>
                <w:rFonts w:ascii="Aptos" w:hAnsi="Aptos" w:eastAsia="Aptos"/>
                <w:sz w:val="18"/>
              </w:rPr>
              <w:t>Do not add a tone accent to ordinary vowel nuclei; pedagogical macron may mark a syllabic nasal.</w:t>
            </w:r>
          </w:p>
        </w:tc>
      </w:tr>
      <w:tr>
        <w:trPr>
          <w:cantSplit/>
        </w:trPr>
        <w:tc>
          <w:tcPr>
            <w:tcW w:type="dxa" w:w="1350"/>
            <w:vAlign w:val="top"/>
            <w:tcMar>
              <w:top w:w="80" w:type="dxa"/>
              <w:start w:w="120" w:type="dxa"/>
              <w:bottom w:w="80" w:type="dxa"/>
              <w:end w:w="120" w:type="dxa"/>
            </w:tcMar>
          </w:tcPr>
          <w:p>
            <w:pPr>
              <w:spacing w:after="0"/>
            </w:pPr>
            <w:r>
              <w:rPr>
                <w:rFonts w:ascii="Aptos" w:hAnsi="Aptos" w:eastAsia="Aptos"/>
                <w:sz w:val="18"/>
              </w:rPr>
              <w:t>Low</w:t>
            </w:r>
          </w:p>
        </w:tc>
        <w:tc>
          <w:tcPr>
            <w:tcW w:type="dxa" w:w="1750"/>
            <w:vAlign w:val="top"/>
            <w:tcMar>
              <w:top w:w="80" w:type="dxa"/>
              <w:start w:w="120" w:type="dxa"/>
              <w:bottom w:w="80" w:type="dxa"/>
              <w:end w:w="120" w:type="dxa"/>
            </w:tcMar>
          </w:tcPr>
          <w:p>
            <w:pPr>
              <w:spacing w:after="0"/>
            </w:pPr>
            <w:r>
              <w:rPr>
                <w:rFonts w:ascii="Aptos" w:hAnsi="Aptos" w:eastAsia="Aptos"/>
                <w:sz w:val="18"/>
              </w:rPr>
              <w:t>grave: à</w:t>
            </w:r>
          </w:p>
        </w:tc>
        <w:tc>
          <w:tcPr>
            <w:tcW w:type="dxa" w:w="1600"/>
            <w:vAlign w:val="top"/>
            <w:tcMar>
              <w:top w:w="80" w:type="dxa"/>
              <w:start w:w="120" w:type="dxa"/>
              <w:bottom w:w="80" w:type="dxa"/>
              <w:end w:w="120" w:type="dxa"/>
            </w:tcMar>
          </w:tcPr>
          <w:p>
            <w:pPr>
              <w:spacing w:after="0"/>
            </w:pPr>
            <w:r>
              <w:rPr>
                <w:rFonts w:ascii="Aptos" w:hAnsi="Aptos" w:eastAsia="Aptos"/>
                <w:sz w:val="18"/>
              </w:rPr>
              <w:t>do</w:t>
            </w:r>
          </w:p>
        </w:tc>
        <w:tc>
          <w:tcPr>
            <w:tcW w:type="dxa" w:w="4660"/>
            <w:vAlign w:val="top"/>
            <w:tcMar>
              <w:top w:w="80" w:type="dxa"/>
              <w:start w:w="120" w:type="dxa"/>
              <w:bottom w:w="80" w:type="dxa"/>
              <w:end w:w="120" w:type="dxa"/>
            </w:tcMar>
          </w:tcPr>
          <w:p>
            <w:pPr>
              <w:spacing w:after="0"/>
            </w:pPr>
            <w:r>
              <w:rPr>
                <w:rFonts w:ascii="Aptos" w:hAnsi="Aptos" w:eastAsia="Aptos"/>
                <w:sz w:val="18"/>
              </w:rPr>
              <w:t>Mark the vowel (or syllabic nasal) with a grave accent.</w:t>
            </w:r>
          </w:p>
        </w:tc>
      </w:tr>
    </w:tbl>
    <w:p>
      <w:r>
        <w:t>English stress combines loudness, duration, vowel reduction, and pitch. Yorùbá lexical and grammatical tone uses pitch contrasts on syllables. Do not 'stress the important syllable' as a substitute for producing its tone.</w:t>
      </w:r>
    </w:p>
    <w:p>
      <w:pPr>
        <w:pStyle w:val="Heading2"/>
      </w:pPr>
      <w:r>
        <w:t>5. Corrected semantic distinction drill</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FDECEC"/>
          </w:tcPr>
          <w:p>
            <w:pPr>
              <w:spacing w:after="0"/>
            </w:pPr>
            <w:r>
              <w:rPr>
                <w:rFonts w:ascii="Aptos" w:hAnsi="Aptos" w:eastAsia="Aptos"/>
                <w:b/>
                <w:color w:val="9B1C1C"/>
              </w:rPr>
              <w:t xml:space="preserve">SOURCE CORRECTION </w:t>
            </w:r>
            <w:r>
              <w:t>The supplied prompt's undotted set 'oko / okò / òkò = hoe / vehicle / stone' is not used. Standard pedagogical forms distinguish ọkọ́ 'hoe', ọkọ̀ 'vehicle', and ọ̀kọ̀ 'spear'; the ordinary word taught here for 'stone' is òkúta. Underdots and tones must be learned together.</w:t>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1450"/>
        <w:gridCol w:w="2000"/>
        <w:gridCol w:w="1800"/>
        <w:gridCol w:w="4110"/>
      </w:tblGrid>
      <w:tr>
        <w:trPr>
          <w:tblHeader w:val="true"/>
          <w:cantSplit/>
        </w:trPr>
        <w:tc>
          <w:tcPr>
            <w:tcW w:type="dxa" w:w="1450"/>
            <w:shd w:fill="E8EEF5"/>
            <w:vAlign w:val="center"/>
            <w:tcMar>
              <w:top w:w="80" w:type="dxa"/>
              <w:start w:w="120" w:type="dxa"/>
              <w:bottom w:w="80" w:type="dxa"/>
              <w:end w:w="120" w:type="dxa"/>
            </w:tcMar>
          </w:tcPr>
          <w:p>
            <w:pPr>
              <w:spacing w:after="0"/>
            </w:pPr>
            <w:r>
              <w:rPr>
                <w:rFonts w:ascii="Aptos" w:hAnsi="Aptos" w:eastAsia="Aptos"/>
                <w:b/>
                <w:color w:val="0B2545"/>
                <w:sz w:val="18"/>
              </w:rPr>
              <w:t>Form</w:t>
            </w:r>
          </w:p>
        </w:tc>
        <w:tc>
          <w:tcPr>
            <w:tcW w:type="dxa" w:w="2000"/>
            <w:shd w:fill="E8EEF5"/>
            <w:vAlign w:val="center"/>
            <w:tcMar>
              <w:top w:w="80" w:type="dxa"/>
              <w:start w:w="120" w:type="dxa"/>
              <w:bottom w:w="80" w:type="dxa"/>
              <w:end w:w="120" w:type="dxa"/>
            </w:tcMar>
          </w:tcPr>
          <w:p>
            <w:pPr>
              <w:spacing w:after="0"/>
            </w:pPr>
            <w:r>
              <w:rPr>
                <w:rFonts w:ascii="Aptos" w:hAnsi="Aptos" w:eastAsia="Aptos"/>
                <w:b/>
                <w:color w:val="0B2545"/>
                <w:sz w:val="18"/>
              </w:rPr>
              <w:t>Tone path</w:t>
            </w:r>
          </w:p>
        </w:tc>
        <w:tc>
          <w:tcPr>
            <w:tcW w:type="dxa" w:w="1800"/>
            <w:shd w:fill="E8EEF5"/>
            <w:vAlign w:val="center"/>
            <w:tcMar>
              <w:top w:w="80" w:type="dxa"/>
              <w:start w:w="120" w:type="dxa"/>
              <w:bottom w:w="80" w:type="dxa"/>
              <w:end w:w="120" w:type="dxa"/>
            </w:tcMar>
          </w:tcPr>
          <w:p>
            <w:pPr>
              <w:spacing w:after="0"/>
            </w:pPr>
            <w:r>
              <w:rPr>
                <w:rFonts w:ascii="Aptos" w:hAnsi="Aptos" w:eastAsia="Aptos"/>
                <w:b/>
                <w:color w:val="0B2545"/>
                <w:sz w:val="18"/>
              </w:rPr>
              <w:t>Meaning</w:t>
            </w:r>
          </w:p>
        </w:tc>
        <w:tc>
          <w:tcPr>
            <w:tcW w:type="dxa" w:w="4110"/>
            <w:shd w:fill="E8EEF5"/>
            <w:vAlign w:val="center"/>
            <w:tcMar>
              <w:top w:w="80" w:type="dxa"/>
              <w:start w:w="120" w:type="dxa"/>
              <w:bottom w:w="80" w:type="dxa"/>
              <w:end w:w="120" w:type="dxa"/>
            </w:tcMar>
          </w:tcPr>
          <w:p>
            <w:pPr>
              <w:spacing w:after="0"/>
            </w:pPr>
            <w:r>
              <w:rPr>
                <w:rFonts w:ascii="Aptos" w:hAnsi="Aptos" w:eastAsia="Aptos"/>
                <w:b/>
                <w:color w:val="0B2545"/>
                <w:sz w:val="18"/>
              </w:rPr>
              <w:t>Drill instruction</w:t>
            </w:r>
          </w:p>
        </w:tc>
      </w:tr>
      <w:tr>
        <w:trPr>
          <w:cantSplit/>
        </w:trPr>
        <w:tc>
          <w:tcPr>
            <w:tcW w:type="dxa" w:w="1450"/>
            <w:vAlign w:val="top"/>
            <w:tcMar>
              <w:top w:w="80" w:type="dxa"/>
              <w:start w:w="120" w:type="dxa"/>
              <w:bottom w:w="80" w:type="dxa"/>
              <w:end w:w="120" w:type="dxa"/>
            </w:tcMar>
          </w:tcPr>
          <w:p>
            <w:pPr>
              <w:spacing w:after="0"/>
            </w:pPr>
            <w:r>
              <w:rPr>
                <w:rFonts w:ascii="Aptos" w:hAnsi="Aptos" w:eastAsia="Aptos"/>
                <w:sz w:val="18"/>
              </w:rPr>
              <w:t>ọkọ́</w:t>
            </w:r>
          </w:p>
        </w:tc>
        <w:tc>
          <w:tcPr>
            <w:tcW w:type="dxa" w:w="2000"/>
            <w:vAlign w:val="top"/>
            <w:tcMar>
              <w:top w:w="80" w:type="dxa"/>
              <w:start w:w="120" w:type="dxa"/>
              <w:bottom w:w="80" w:type="dxa"/>
              <w:end w:w="120" w:type="dxa"/>
            </w:tcMar>
          </w:tcPr>
          <w:p>
            <w:pPr>
              <w:spacing w:after="0"/>
            </w:pPr>
            <w:r>
              <w:rPr>
                <w:rFonts w:ascii="Aptos" w:hAnsi="Aptos" w:eastAsia="Aptos"/>
                <w:sz w:val="18"/>
              </w:rPr>
              <w:t>mid-high (re-mi)</w:t>
            </w:r>
          </w:p>
        </w:tc>
        <w:tc>
          <w:tcPr>
            <w:tcW w:type="dxa" w:w="1800"/>
            <w:vAlign w:val="top"/>
            <w:tcMar>
              <w:top w:w="80" w:type="dxa"/>
              <w:start w:w="120" w:type="dxa"/>
              <w:bottom w:w="80" w:type="dxa"/>
              <w:end w:w="120" w:type="dxa"/>
            </w:tcMar>
          </w:tcPr>
          <w:p>
            <w:pPr>
              <w:spacing w:after="0"/>
            </w:pPr>
            <w:r>
              <w:rPr>
                <w:rFonts w:ascii="Aptos" w:hAnsi="Aptos" w:eastAsia="Aptos"/>
                <w:sz w:val="18"/>
              </w:rPr>
              <w:t>hoe</w:t>
            </w:r>
          </w:p>
        </w:tc>
        <w:tc>
          <w:tcPr>
            <w:tcW w:type="dxa" w:w="4110"/>
            <w:vAlign w:val="top"/>
            <w:tcMar>
              <w:top w:w="80" w:type="dxa"/>
              <w:start w:w="120" w:type="dxa"/>
              <w:bottom w:w="80" w:type="dxa"/>
              <w:end w:w="120" w:type="dxa"/>
            </w:tcMar>
          </w:tcPr>
          <w:p>
            <w:pPr>
              <w:spacing w:after="0"/>
            </w:pPr>
            <w:r>
              <w:rPr>
                <w:rFonts w:ascii="Aptos" w:hAnsi="Aptos" w:eastAsia="Aptos"/>
                <w:sz w:val="18"/>
              </w:rPr>
              <w:t>Point to/draw a farm tool; say the pitch first, then the word.</w:t>
            </w:r>
          </w:p>
        </w:tc>
      </w:tr>
      <w:tr>
        <w:trPr>
          <w:cantSplit/>
        </w:trPr>
        <w:tc>
          <w:tcPr>
            <w:tcW w:type="dxa" w:w="1450"/>
            <w:vAlign w:val="top"/>
            <w:tcMar>
              <w:top w:w="80" w:type="dxa"/>
              <w:start w:w="120" w:type="dxa"/>
              <w:bottom w:w="80" w:type="dxa"/>
              <w:end w:w="120" w:type="dxa"/>
            </w:tcMar>
          </w:tcPr>
          <w:p>
            <w:pPr>
              <w:spacing w:after="0"/>
            </w:pPr>
            <w:r>
              <w:rPr>
                <w:rFonts w:ascii="Aptos" w:hAnsi="Aptos" w:eastAsia="Aptos"/>
                <w:sz w:val="18"/>
              </w:rPr>
              <w:t>ọkọ̀</w:t>
            </w:r>
          </w:p>
        </w:tc>
        <w:tc>
          <w:tcPr>
            <w:tcW w:type="dxa" w:w="2000"/>
            <w:vAlign w:val="top"/>
            <w:tcMar>
              <w:top w:w="80" w:type="dxa"/>
              <w:start w:w="120" w:type="dxa"/>
              <w:bottom w:w="80" w:type="dxa"/>
              <w:end w:w="120" w:type="dxa"/>
            </w:tcMar>
          </w:tcPr>
          <w:p>
            <w:pPr>
              <w:spacing w:after="0"/>
            </w:pPr>
            <w:r>
              <w:rPr>
                <w:rFonts w:ascii="Aptos" w:hAnsi="Aptos" w:eastAsia="Aptos"/>
                <w:sz w:val="18"/>
              </w:rPr>
              <w:t>mid-low (re-do)</w:t>
            </w:r>
          </w:p>
        </w:tc>
        <w:tc>
          <w:tcPr>
            <w:tcW w:type="dxa" w:w="1800"/>
            <w:vAlign w:val="top"/>
            <w:tcMar>
              <w:top w:w="80" w:type="dxa"/>
              <w:start w:w="120" w:type="dxa"/>
              <w:bottom w:w="80" w:type="dxa"/>
              <w:end w:w="120" w:type="dxa"/>
            </w:tcMar>
          </w:tcPr>
          <w:p>
            <w:pPr>
              <w:spacing w:after="0"/>
            </w:pPr>
            <w:r>
              <w:rPr>
                <w:rFonts w:ascii="Aptos" w:hAnsi="Aptos" w:eastAsia="Aptos"/>
                <w:sz w:val="18"/>
              </w:rPr>
              <w:t>vehicle</w:t>
            </w:r>
          </w:p>
        </w:tc>
        <w:tc>
          <w:tcPr>
            <w:tcW w:type="dxa" w:w="4110"/>
            <w:vAlign w:val="top"/>
            <w:tcMar>
              <w:top w:w="80" w:type="dxa"/>
              <w:start w:w="120" w:type="dxa"/>
              <w:bottom w:w="80" w:type="dxa"/>
              <w:end w:w="120" w:type="dxa"/>
            </w:tcMar>
          </w:tcPr>
          <w:p>
            <w:pPr>
              <w:spacing w:after="0"/>
            </w:pPr>
            <w:r>
              <w:rPr>
                <w:rFonts w:ascii="Aptos" w:hAnsi="Aptos" w:eastAsia="Aptos"/>
                <w:sz w:val="18"/>
              </w:rPr>
              <w:t>Use it in a transport picture sort.</w:t>
            </w:r>
          </w:p>
        </w:tc>
      </w:tr>
      <w:tr>
        <w:trPr>
          <w:cantSplit/>
        </w:trPr>
        <w:tc>
          <w:tcPr>
            <w:tcW w:type="dxa" w:w="1450"/>
            <w:vAlign w:val="top"/>
            <w:tcMar>
              <w:top w:w="80" w:type="dxa"/>
              <w:start w:w="120" w:type="dxa"/>
              <w:bottom w:w="80" w:type="dxa"/>
              <w:end w:w="120" w:type="dxa"/>
            </w:tcMar>
          </w:tcPr>
          <w:p>
            <w:pPr>
              <w:spacing w:after="0"/>
            </w:pPr>
            <w:r>
              <w:rPr>
                <w:rFonts w:ascii="Aptos" w:hAnsi="Aptos" w:eastAsia="Aptos"/>
                <w:sz w:val="18"/>
              </w:rPr>
              <w:t>ọ̀kọ̀</w:t>
            </w:r>
          </w:p>
        </w:tc>
        <w:tc>
          <w:tcPr>
            <w:tcW w:type="dxa" w:w="2000"/>
            <w:vAlign w:val="top"/>
            <w:tcMar>
              <w:top w:w="80" w:type="dxa"/>
              <w:start w:w="120" w:type="dxa"/>
              <w:bottom w:w="80" w:type="dxa"/>
              <w:end w:w="120" w:type="dxa"/>
            </w:tcMar>
          </w:tcPr>
          <w:p>
            <w:pPr>
              <w:spacing w:after="0"/>
            </w:pPr>
            <w:r>
              <w:rPr>
                <w:rFonts w:ascii="Aptos" w:hAnsi="Aptos" w:eastAsia="Aptos"/>
                <w:sz w:val="18"/>
              </w:rPr>
              <w:t>low-low (do-do)</w:t>
            </w:r>
          </w:p>
        </w:tc>
        <w:tc>
          <w:tcPr>
            <w:tcW w:type="dxa" w:w="1800"/>
            <w:vAlign w:val="top"/>
            <w:tcMar>
              <w:top w:w="80" w:type="dxa"/>
              <w:start w:w="120" w:type="dxa"/>
              <w:bottom w:w="80" w:type="dxa"/>
              <w:end w:w="120" w:type="dxa"/>
            </w:tcMar>
          </w:tcPr>
          <w:p>
            <w:pPr>
              <w:spacing w:after="0"/>
            </w:pPr>
            <w:r>
              <w:rPr>
                <w:rFonts w:ascii="Aptos" w:hAnsi="Aptos" w:eastAsia="Aptos"/>
                <w:sz w:val="18"/>
              </w:rPr>
              <w:t>spear</w:t>
            </w:r>
          </w:p>
        </w:tc>
        <w:tc>
          <w:tcPr>
            <w:tcW w:type="dxa" w:w="4110"/>
            <w:vAlign w:val="top"/>
            <w:tcMar>
              <w:top w:w="80" w:type="dxa"/>
              <w:start w:w="120" w:type="dxa"/>
              <w:bottom w:w="80" w:type="dxa"/>
              <w:end w:w="120" w:type="dxa"/>
            </w:tcMar>
          </w:tcPr>
          <w:p>
            <w:pPr>
              <w:spacing w:after="0"/>
            </w:pPr>
            <w:r>
              <w:rPr>
                <w:rFonts w:ascii="Aptos" w:hAnsi="Aptos" w:eastAsia="Aptos"/>
                <w:sz w:val="18"/>
              </w:rPr>
              <w:t>Contrast with ọkọ̀; maintain first-syllable low tone.</w:t>
            </w:r>
          </w:p>
        </w:tc>
      </w:tr>
      <w:tr>
        <w:trPr>
          <w:cantSplit/>
        </w:trPr>
        <w:tc>
          <w:tcPr>
            <w:tcW w:type="dxa" w:w="1450"/>
            <w:vAlign w:val="top"/>
            <w:tcMar>
              <w:top w:w="80" w:type="dxa"/>
              <w:start w:w="120" w:type="dxa"/>
              <w:bottom w:w="80" w:type="dxa"/>
              <w:end w:w="120" w:type="dxa"/>
            </w:tcMar>
          </w:tcPr>
          <w:p>
            <w:pPr>
              <w:spacing w:after="0"/>
            </w:pPr>
            <w:r>
              <w:rPr>
                <w:rFonts w:ascii="Aptos" w:hAnsi="Aptos" w:eastAsia="Aptos"/>
                <w:sz w:val="18"/>
              </w:rPr>
              <w:t>òkúta</w:t>
            </w:r>
          </w:p>
        </w:tc>
        <w:tc>
          <w:tcPr>
            <w:tcW w:type="dxa" w:w="2000"/>
            <w:vAlign w:val="top"/>
            <w:tcMar>
              <w:top w:w="80" w:type="dxa"/>
              <w:start w:w="120" w:type="dxa"/>
              <w:bottom w:w="80" w:type="dxa"/>
              <w:end w:w="120" w:type="dxa"/>
            </w:tcMar>
          </w:tcPr>
          <w:p>
            <w:pPr>
              <w:spacing w:after="0"/>
            </w:pPr>
            <w:r>
              <w:rPr>
                <w:rFonts w:ascii="Aptos" w:hAnsi="Aptos" w:eastAsia="Aptos"/>
                <w:sz w:val="18"/>
              </w:rPr>
              <w:t>low-high-mid</w:t>
            </w:r>
          </w:p>
        </w:tc>
        <w:tc>
          <w:tcPr>
            <w:tcW w:type="dxa" w:w="1800"/>
            <w:vAlign w:val="top"/>
            <w:tcMar>
              <w:top w:w="80" w:type="dxa"/>
              <w:start w:w="120" w:type="dxa"/>
              <w:bottom w:w="80" w:type="dxa"/>
              <w:end w:w="120" w:type="dxa"/>
            </w:tcMar>
          </w:tcPr>
          <w:p>
            <w:pPr>
              <w:spacing w:after="0"/>
            </w:pPr>
            <w:r>
              <w:rPr>
                <w:rFonts w:ascii="Aptos" w:hAnsi="Aptos" w:eastAsia="Aptos"/>
                <w:sz w:val="18"/>
              </w:rPr>
              <w:t>stone</w:t>
            </w:r>
          </w:p>
        </w:tc>
        <w:tc>
          <w:tcPr>
            <w:tcW w:type="dxa" w:w="4110"/>
            <w:vAlign w:val="top"/>
            <w:tcMar>
              <w:top w:w="80" w:type="dxa"/>
              <w:start w:w="120" w:type="dxa"/>
              <w:bottom w:w="80" w:type="dxa"/>
              <w:end w:w="120" w:type="dxa"/>
            </w:tcMar>
          </w:tcPr>
          <w:p>
            <w:pPr>
              <w:spacing w:after="0"/>
            </w:pPr>
            <w:r>
              <w:rPr>
                <w:rFonts w:ascii="Aptos" w:hAnsi="Aptos" w:eastAsia="Aptos"/>
                <w:sz w:val="18"/>
              </w:rPr>
              <w:t>Use this form for the everyday 'stone' meaning in course writing.</w:t>
            </w:r>
          </w:p>
        </w:tc>
      </w:tr>
    </w:tbl>
    <w:p>
      <w:pPr>
        <w:spacing w:before="140" w:after="100"/>
        <w:jc w:val="center"/>
      </w:pPr>
      <w:r>
        <w:drawing>
          <wp:inline xmlns:a="http://schemas.openxmlformats.org/drawingml/2006/main" xmlns:pic="http://schemas.openxmlformats.org/drawingml/2006/picture">
            <wp:extent cx="4480560" cy="2521655"/>
            <wp:docPr id="2" name="Picture 2" descr="Abstract indigo pitch signals rising, staying level and falling to represent high, mid and low tone" title="Abstract indigo pitch signals rising, staying level and falling to represent high, mid and low tone"/>
            <wp:cNvGraphicFramePr>
              <a:graphicFrameLocks noChangeAspect="1"/>
            </wp:cNvGraphicFramePr>
            <a:graphic>
              <a:graphicData uri="http://schemas.openxmlformats.org/drawingml/2006/picture">
                <pic:pic>
                  <pic:nvPicPr>
                    <pic:cNvPr id="0" name="tone-signal-openai.png"/>
                    <pic:cNvPicPr/>
                  </pic:nvPicPr>
                  <pic:blipFill>
                    <a:blip r:embed="rId12"/>
                    <a:stretch>
                      <a:fillRect/>
                    </a:stretch>
                  </pic:blipFill>
                  <pic:spPr>
                    <a:xfrm>
                      <a:off x="0" y="0"/>
                      <a:ext cx="4480560" cy="2521655"/>
                    </a:xfrm>
                    <a:prstGeom prst="rect"/>
                  </pic:spPr>
                </pic:pic>
              </a:graphicData>
            </a:graphic>
          </wp:inline>
        </w:drawing>
      </w:r>
    </w:p>
    <w:p>
      <w:pPr>
        <w:spacing w:after="140"/>
        <w:jc w:val="center"/>
      </w:pPr>
      <w:r>
        <w:rPr>
          <w:rFonts w:ascii="Aptos" w:hAnsi="Aptos" w:eastAsia="Aptos"/>
          <w:i/>
          <w:color w:val="5A6675"/>
          <w:sz w:val="17"/>
        </w:rPr>
        <w:t>Visual memory cue only: always confirm meaning through fully marked forms and reliable audio.</w:t>
      </w:r>
    </w:p>
    <w:p>
      <w:pPr>
        <w:pStyle w:val="Heading2"/>
      </w:pPr>
      <w:r>
        <w:t>6. Five-step laboratory protocol</w:t>
      </w:r>
    </w:p>
    <w:p>
      <w:pPr>
        <w:numPr>
          <w:ilvl w:val="0"/>
          <w:numId w:val="10"/>
        </w:numPr>
        <w:spacing w:after="80" w:line="300" w:lineRule="auto"/>
      </w:pPr>
      <w:r>
        <w:t>Listen for pitch and vowel quality before looking at the spelling.</w:t>
      </w:r>
    </w:p>
    <w:p>
      <w:pPr>
        <w:numPr>
          <w:ilvl w:val="0"/>
          <w:numId w:val="10"/>
        </w:numPr>
        <w:spacing w:after="80" w:line="300" w:lineRule="auto"/>
      </w:pPr>
      <w:r>
        <w:t>Hum the tone path using do-re-mi, then say the word without changing the path.</w:t>
      </w:r>
    </w:p>
    <w:p>
      <w:pPr>
        <w:numPr>
          <w:ilvl w:val="0"/>
          <w:numId w:val="10"/>
        </w:numPr>
        <w:spacing w:after="80" w:line="300" w:lineRule="auto"/>
      </w:pPr>
      <w:r>
        <w:t>Shadow the model at about 70% speed, then at natural speed.</w:t>
      </w:r>
    </w:p>
    <w:p>
      <w:pPr>
        <w:numPr>
          <w:ilvl w:val="0"/>
          <w:numId w:val="10"/>
        </w:numPr>
        <w:spacing w:after="80" w:line="300" w:lineRule="auto"/>
      </w:pPr>
      <w:r>
        <w:t>Record one isolated form, one short phrase, and one sentence.</w:t>
      </w:r>
    </w:p>
    <w:p>
      <w:pPr>
        <w:numPr>
          <w:ilvl w:val="0"/>
          <w:numId w:val="10"/>
        </w:numPr>
        <w:spacing w:after="80" w:line="300" w:lineRule="auto"/>
      </w:pPr>
      <w:r>
        <w:t>Complete forced-choice discrimination: identify meaning from audio and identify the correct fully marked spelling.</w:t>
      </w:r>
    </w:p>
    <w:p>
      <w:r>
        <w:t>Drop the do-re-mi labels once pitch recognition becomes automatic. At Intermediate II, add controlled awareness of downstep and tone interaction in connected speech; do not let a theoretical label replace accurate imitation.</w:t>
      </w:r>
    </w:p>
    <w:p>
      <w:pPr>
        <w:pStyle w:val="Heading2"/>
      </w:pPr>
      <w:r>
        <w:t>7. Talk-along script pattern</w:t>
      </w:r>
    </w:p>
    <w:tbl>
      <w:tblPr>
        <w:tblStyle w:val="TableGrid"/>
        <w:tblW w:type="dxa" w:w="9360"/>
        <w:jc w:val="left"/>
        <w:tblLayout w:type="fixed"/>
        <w:tblLook w:firstColumn="1" w:firstRow="1" w:lastColumn="0" w:lastRow="0" w:noHBand="0" w:noVBand="1" w:val="04A0"/>
        <w:tblInd w:w="120" w:type="dxa"/>
      </w:tblPr>
      <w:tblGrid>
        <w:gridCol w:w="1300"/>
        <w:gridCol w:w="5200"/>
        <w:gridCol w:w="2860"/>
      </w:tblGrid>
      <w:tr>
        <w:trPr>
          <w:tblHeader w:val="true"/>
          <w:cantSplit/>
        </w:trPr>
        <w:tc>
          <w:tcPr>
            <w:tcW w:type="dxa" w:w="1300"/>
            <w:shd w:fill="E8EEF5"/>
            <w:vAlign w:val="center"/>
            <w:tcMar>
              <w:top w:w="80" w:type="dxa"/>
              <w:start w:w="120" w:type="dxa"/>
              <w:bottom w:w="80" w:type="dxa"/>
              <w:end w:w="120" w:type="dxa"/>
            </w:tcMar>
          </w:tcPr>
          <w:p>
            <w:pPr>
              <w:spacing w:after="0"/>
            </w:pPr>
            <w:r>
              <w:rPr>
                <w:rFonts w:ascii="Aptos" w:hAnsi="Aptos" w:eastAsia="Aptos"/>
                <w:b/>
                <w:color w:val="0B2545"/>
                <w:sz w:val="18"/>
              </w:rPr>
              <w:t>Pass</w:t>
            </w:r>
          </w:p>
        </w:tc>
        <w:tc>
          <w:tcPr>
            <w:tcW w:type="dxa" w:w="5200"/>
            <w:shd w:fill="E8EEF5"/>
            <w:vAlign w:val="center"/>
            <w:tcMar>
              <w:top w:w="80" w:type="dxa"/>
              <w:start w:w="120" w:type="dxa"/>
              <w:bottom w:w="80" w:type="dxa"/>
              <w:end w:w="120" w:type="dxa"/>
            </w:tcMar>
          </w:tcPr>
          <w:p>
            <w:pPr>
              <w:spacing w:after="0"/>
            </w:pPr>
            <w:r>
              <w:rPr>
                <w:rFonts w:ascii="Aptos" w:hAnsi="Aptos" w:eastAsia="Aptos"/>
                <w:b/>
                <w:color w:val="0B2545"/>
                <w:sz w:val="18"/>
              </w:rPr>
              <w:t>Learner action</w:t>
            </w:r>
          </w:p>
        </w:tc>
        <w:tc>
          <w:tcPr>
            <w:tcW w:type="dxa" w:w="2860"/>
            <w:shd w:fill="E8EEF5"/>
            <w:vAlign w:val="center"/>
            <w:tcMar>
              <w:top w:w="80" w:type="dxa"/>
              <w:start w:w="120" w:type="dxa"/>
              <w:bottom w:w="80" w:type="dxa"/>
              <w:end w:w="120" w:type="dxa"/>
            </w:tcMar>
          </w:tcPr>
          <w:p>
            <w:pPr>
              <w:spacing w:after="0"/>
            </w:pPr>
            <w:r>
              <w:rPr>
                <w:rFonts w:ascii="Aptos" w:hAnsi="Aptos" w:eastAsia="Aptos"/>
                <w:b/>
                <w:color w:val="0B2545"/>
                <w:sz w:val="18"/>
              </w:rPr>
              <w:t>Success check</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Lockstep</w:t>
            </w:r>
          </w:p>
        </w:tc>
        <w:tc>
          <w:tcPr>
            <w:tcW w:type="dxa" w:w="5200"/>
            <w:vAlign w:val="top"/>
            <w:tcMar>
              <w:top w:w="80" w:type="dxa"/>
              <w:start w:w="120" w:type="dxa"/>
              <w:bottom w:w="80" w:type="dxa"/>
              <w:end w:w="120" w:type="dxa"/>
            </w:tcMar>
          </w:tcPr>
          <w:p>
            <w:pPr>
              <w:spacing w:after="0"/>
            </w:pPr>
            <w:r>
              <w:rPr>
                <w:rFonts w:ascii="Aptos" w:hAnsi="Aptos" w:eastAsia="Aptos"/>
                <w:sz w:val="18"/>
              </w:rPr>
              <w:t>Speak simultaneously with the model while tracking tone marks.</w:t>
            </w:r>
          </w:p>
        </w:tc>
        <w:tc>
          <w:tcPr>
            <w:tcW w:type="dxa" w:w="2860"/>
            <w:vAlign w:val="top"/>
            <w:tcMar>
              <w:top w:w="80" w:type="dxa"/>
              <w:start w:w="120" w:type="dxa"/>
              <w:bottom w:w="80" w:type="dxa"/>
              <w:end w:w="120" w:type="dxa"/>
            </w:tcMar>
          </w:tcPr>
          <w:p>
            <w:pPr>
              <w:spacing w:after="0"/>
            </w:pPr>
            <w:r>
              <w:rPr>
                <w:rFonts w:ascii="Aptos" w:hAnsi="Aptos" w:eastAsia="Aptos"/>
                <w:sz w:val="18"/>
              </w:rPr>
              <w:t>No extra vowel after final consonant/nasal; pitch path stays aligned.</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Delayed repetition</w:t>
            </w:r>
          </w:p>
        </w:tc>
        <w:tc>
          <w:tcPr>
            <w:tcW w:type="dxa" w:w="5200"/>
            <w:vAlign w:val="top"/>
            <w:tcMar>
              <w:top w:w="80" w:type="dxa"/>
              <w:start w:w="120" w:type="dxa"/>
              <w:bottom w:w="80" w:type="dxa"/>
              <w:end w:w="120" w:type="dxa"/>
            </w:tcMar>
          </w:tcPr>
          <w:p>
            <w:pPr>
              <w:spacing w:after="0"/>
            </w:pPr>
            <w:r>
              <w:rPr>
                <w:rFonts w:ascii="Aptos" w:hAnsi="Aptos" w:eastAsia="Aptos"/>
                <w:sz w:val="18"/>
              </w:rPr>
              <w:t>Pause 1-2 seconds, then reproduce without looking.</w:t>
            </w:r>
          </w:p>
        </w:tc>
        <w:tc>
          <w:tcPr>
            <w:tcW w:type="dxa" w:w="2860"/>
            <w:vAlign w:val="top"/>
            <w:tcMar>
              <w:top w:w="80" w:type="dxa"/>
              <w:start w:w="120" w:type="dxa"/>
              <w:bottom w:w="80" w:type="dxa"/>
              <w:end w:w="120" w:type="dxa"/>
            </w:tcMar>
          </w:tcPr>
          <w:p>
            <w:pPr>
              <w:spacing w:after="0"/>
            </w:pPr>
            <w:r>
              <w:rPr>
                <w:rFonts w:ascii="Aptos" w:hAnsi="Aptos" w:eastAsia="Aptos"/>
                <w:sz w:val="18"/>
              </w:rPr>
              <w:t>Form, tone, and register retained.</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Role A/B</w:t>
            </w:r>
          </w:p>
        </w:tc>
        <w:tc>
          <w:tcPr>
            <w:tcW w:type="dxa" w:w="5200"/>
            <w:vAlign w:val="top"/>
            <w:tcMar>
              <w:top w:w="80" w:type="dxa"/>
              <w:start w:w="120" w:type="dxa"/>
              <w:bottom w:w="80" w:type="dxa"/>
              <w:end w:w="120" w:type="dxa"/>
            </w:tcMar>
          </w:tcPr>
          <w:p>
            <w:pPr>
              <w:spacing w:after="0"/>
            </w:pPr>
            <w:r>
              <w:rPr>
                <w:rFonts w:ascii="Aptos" w:hAnsi="Aptos" w:eastAsia="Aptos"/>
                <w:sz w:val="18"/>
              </w:rPr>
              <w:t>Perform one role, then switch roles; solo learners leave timed gaps.</w:t>
            </w:r>
          </w:p>
        </w:tc>
        <w:tc>
          <w:tcPr>
            <w:tcW w:type="dxa" w:w="2860"/>
            <w:vAlign w:val="top"/>
            <w:tcMar>
              <w:top w:w="80" w:type="dxa"/>
              <w:start w:w="120" w:type="dxa"/>
              <w:bottom w:w="80" w:type="dxa"/>
              <w:end w:w="120" w:type="dxa"/>
            </w:tcMar>
          </w:tcPr>
          <w:p>
            <w:pPr>
              <w:spacing w:after="0"/>
            </w:pPr>
            <w:r>
              <w:rPr>
                <w:rFonts w:ascii="Aptos" w:hAnsi="Aptos" w:eastAsia="Aptos"/>
                <w:sz w:val="18"/>
              </w:rPr>
              <w:t>Appropriate honorifics and situational greeting.</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Transfer</w:t>
            </w:r>
          </w:p>
        </w:tc>
        <w:tc>
          <w:tcPr>
            <w:tcW w:type="dxa" w:w="5200"/>
            <w:vAlign w:val="top"/>
            <w:tcMar>
              <w:top w:w="80" w:type="dxa"/>
              <w:start w:w="120" w:type="dxa"/>
              <w:bottom w:w="80" w:type="dxa"/>
              <w:end w:w="120" w:type="dxa"/>
            </w:tcMar>
          </w:tcPr>
          <w:p>
            <w:pPr>
              <w:spacing w:after="0"/>
            </w:pPr>
            <w:r>
              <w:rPr>
                <w:rFonts w:ascii="Aptos" w:hAnsi="Aptos" w:eastAsia="Aptos"/>
                <w:sz w:val="18"/>
              </w:rPr>
              <w:t>Replace one noun, person, time, or place while preserving the frame.</w:t>
            </w:r>
          </w:p>
        </w:tc>
        <w:tc>
          <w:tcPr>
            <w:tcW w:type="dxa" w:w="2860"/>
            <w:vAlign w:val="top"/>
            <w:tcMar>
              <w:top w:w="80" w:type="dxa"/>
              <w:start w:w="120" w:type="dxa"/>
              <w:bottom w:w="80" w:type="dxa"/>
              <w:end w:w="120" w:type="dxa"/>
            </w:tcMar>
          </w:tcPr>
          <w:p>
            <w:pPr>
              <w:spacing w:after="0"/>
            </w:pPr>
            <w:r>
              <w:rPr>
                <w:rFonts w:ascii="Aptos" w:hAnsi="Aptos" w:eastAsia="Aptos"/>
                <w:sz w:val="18"/>
              </w:rPr>
              <w:t>Grammar remains accurate after substitution.</w:t>
            </w:r>
          </w:p>
        </w:tc>
      </w:tr>
    </w:tbl>
    <w:p>
      <w:pPr>
        <w:pStyle w:val="Heading2"/>
      </w:pPr>
      <w:r>
        <w:t>8. Week-one greeting bank</w:t>
      </w:r>
    </w:p>
    <w:tbl>
      <w:tblPr>
        <w:tblStyle w:val="TableGrid"/>
        <w:tblW w:type="dxa" w:w="9360"/>
        <w:jc w:val="left"/>
        <w:tblLayout w:type="fixed"/>
        <w:tblLook w:firstColumn="1" w:firstRow="1" w:lastColumn="0" w:lastRow="0" w:noHBand="0" w:noVBand="1" w:val="04A0"/>
        <w:tblInd w:w="120" w:type="dxa"/>
      </w:tblPr>
      <w:tblGrid>
        <w:gridCol w:w="2600"/>
        <w:gridCol w:w="3550"/>
        <w:gridCol w:w="3210"/>
      </w:tblGrid>
      <w:tr>
        <w:trPr>
          <w:tblHeader w:val="true"/>
          <w:cantSplit/>
        </w:trPr>
        <w:tc>
          <w:tcPr>
            <w:tcW w:type="dxa" w:w="2600"/>
            <w:shd w:fill="E8EEF5"/>
            <w:vAlign w:val="center"/>
            <w:tcMar>
              <w:top w:w="80" w:type="dxa"/>
              <w:start w:w="120" w:type="dxa"/>
              <w:bottom w:w="80" w:type="dxa"/>
              <w:end w:w="120" w:type="dxa"/>
            </w:tcMar>
          </w:tcPr>
          <w:p>
            <w:pPr>
              <w:spacing w:after="0"/>
            </w:pPr>
            <w:r>
              <w:rPr>
                <w:rFonts w:ascii="Aptos" w:hAnsi="Aptos" w:eastAsia="Aptos"/>
                <w:b/>
                <w:color w:val="0B2545"/>
                <w:sz w:val="18"/>
              </w:rPr>
              <w:t>Yorùbá</w:t>
            </w:r>
          </w:p>
        </w:tc>
        <w:tc>
          <w:tcPr>
            <w:tcW w:type="dxa" w:w="3550"/>
            <w:shd w:fill="E8EEF5"/>
            <w:vAlign w:val="center"/>
            <w:tcMar>
              <w:top w:w="80" w:type="dxa"/>
              <w:start w:w="120" w:type="dxa"/>
              <w:bottom w:w="80" w:type="dxa"/>
              <w:end w:w="120" w:type="dxa"/>
            </w:tcMar>
          </w:tcPr>
          <w:p>
            <w:pPr>
              <w:spacing w:after="0"/>
            </w:pPr>
            <w:r>
              <w:rPr>
                <w:rFonts w:ascii="Aptos" w:hAnsi="Aptos" w:eastAsia="Aptos"/>
                <w:b/>
                <w:color w:val="0B2545"/>
                <w:sz w:val="18"/>
              </w:rPr>
              <w:t>Function</w:t>
            </w:r>
          </w:p>
        </w:tc>
        <w:tc>
          <w:tcPr>
            <w:tcW w:type="dxa" w:w="3210"/>
            <w:shd w:fill="E8EEF5"/>
            <w:vAlign w:val="center"/>
            <w:tcMar>
              <w:top w:w="80" w:type="dxa"/>
              <w:start w:w="120" w:type="dxa"/>
              <w:bottom w:w="80" w:type="dxa"/>
              <w:end w:w="120" w:type="dxa"/>
            </w:tcMar>
          </w:tcPr>
          <w:p>
            <w:pPr>
              <w:spacing w:after="0"/>
            </w:pPr>
            <w:r>
              <w:rPr>
                <w:rFonts w:ascii="Aptos" w:hAnsi="Aptos" w:eastAsia="Aptos"/>
                <w:b/>
                <w:color w:val="0B2545"/>
                <w:sz w:val="18"/>
              </w:rPr>
              <w:t>Register note</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Ẹ káàárọ̀.</w:t>
            </w:r>
          </w:p>
        </w:tc>
        <w:tc>
          <w:tcPr>
            <w:tcW w:type="dxa" w:w="3550"/>
            <w:vAlign w:val="top"/>
            <w:tcMar>
              <w:top w:w="80" w:type="dxa"/>
              <w:start w:w="120" w:type="dxa"/>
              <w:bottom w:w="80" w:type="dxa"/>
              <w:end w:w="120" w:type="dxa"/>
            </w:tcMar>
          </w:tcPr>
          <w:p>
            <w:pPr>
              <w:spacing w:after="0"/>
            </w:pPr>
            <w:r>
              <w:rPr>
                <w:rFonts w:ascii="Aptos" w:hAnsi="Aptos" w:eastAsia="Aptos"/>
                <w:sz w:val="18"/>
              </w:rPr>
              <w:t>Good morning.</w:t>
            </w:r>
          </w:p>
        </w:tc>
        <w:tc>
          <w:tcPr>
            <w:tcW w:type="dxa" w:w="3210"/>
            <w:vAlign w:val="top"/>
            <w:tcMar>
              <w:top w:w="80" w:type="dxa"/>
              <w:start w:w="120" w:type="dxa"/>
              <w:bottom w:w="80" w:type="dxa"/>
              <w:end w:w="120" w:type="dxa"/>
            </w:tcMar>
          </w:tcPr>
          <w:p>
            <w:pPr>
              <w:spacing w:after="0"/>
            </w:pPr>
            <w:r>
              <w:rPr>
                <w:rFonts w:ascii="Aptos" w:hAnsi="Aptos" w:eastAsia="Aptos"/>
                <w:sz w:val="18"/>
              </w:rPr>
              <w:t>Respectful/plural form; teach first.</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Ẹ káàsán.</w:t>
            </w:r>
          </w:p>
        </w:tc>
        <w:tc>
          <w:tcPr>
            <w:tcW w:type="dxa" w:w="3550"/>
            <w:vAlign w:val="top"/>
            <w:tcMar>
              <w:top w:w="80" w:type="dxa"/>
              <w:start w:w="120" w:type="dxa"/>
              <w:bottom w:w="80" w:type="dxa"/>
              <w:end w:w="120" w:type="dxa"/>
            </w:tcMar>
          </w:tcPr>
          <w:p>
            <w:pPr>
              <w:spacing w:after="0"/>
            </w:pPr>
            <w:r>
              <w:rPr>
                <w:rFonts w:ascii="Aptos" w:hAnsi="Aptos" w:eastAsia="Aptos"/>
                <w:sz w:val="18"/>
              </w:rPr>
              <w:t>Good afternoon.</w:t>
            </w:r>
          </w:p>
        </w:tc>
        <w:tc>
          <w:tcPr>
            <w:tcW w:type="dxa" w:w="3210"/>
            <w:vAlign w:val="top"/>
            <w:tcMar>
              <w:top w:w="80" w:type="dxa"/>
              <w:start w:w="120" w:type="dxa"/>
              <w:bottom w:w="80" w:type="dxa"/>
              <w:end w:w="120" w:type="dxa"/>
            </w:tcMar>
          </w:tcPr>
          <w:p>
            <w:pPr>
              <w:spacing w:after="0"/>
            </w:pPr>
            <w:r>
              <w:rPr>
                <w:rFonts w:ascii="Aptos" w:hAnsi="Aptos" w:eastAsia="Aptos"/>
                <w:sz w:val="18"/>
              </w:rPr>
              <w:t>Respectful/plural form.</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Ẹ káalẹ́.</w:t>
            </w:r>
          </w:p>
        </w:tc>
        <w:tc>
          <w:tcPr>
            <w:tcW w:type="dxa" w:w="3550"/>
            <w:vAlign w:val="top"/>
            <w:tcMar>
              <w:top w:w="80" w:type="dxa"/>
              <w:start w:w="120" w:type="dxa"/>
              <w:bottom w:w="80" w:type="dxa"/>
              <w:end w:w="120" w:type="dxa"/>
            </w:tcMar>
          </w:tcPr>
          <w:p>
            <w:pPr>
              <w:spacing w:after="0"/>
            </w:pPr>
            <w:r>
              <w:rPr>
                <w:rFonts w:ascii="Aptos" w:hAnsi="Aptos" w:eastAsia="Aptos"/>
                <w:sz w:val="18"/>
              </w:rPr>
              <w:t>Good evening.</w:t>
            </w:r>
          </w:p>
        </w:tc>
        <w:tc>
          <w:tcPr>
            <w:tcW w:type="dxa" w:w="3210"/>
            <w:vAlign w:val="top"/>
            <w:tcMar>
              <w:top w:w="80" w:type="dxa"/>
              <w:start w:w="120" w:type="dxa"/>
              <w:bottom w:w="80" w:type="dxa"/>
              <w:end w:w="120" w:type="dxa"/>
            </w:tcMar>
          </w:tcPr>
          <w:p>
            <w:pPr>
              <w:spacing w:after="0"/>
            </w:pPr>
            <w:r>
              <w:rPr>
                <w:rFonts w:ascii="Aptos" w:hAnsi="Aptos" w:eastAsia="Aptos"/>
                <w:sz w:val="18"/>
              </w:rPr>
              <w:t>Respectful/plural form.</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Ẹ kú iṣẹ́.</w:t>
            </w:r>
          </w:p>
        </w:tc>
        <w:tc>
          <w:tcPr>
            <w:tcW w:type="dxa" w:w="3550"/>
            <w:vAlign w:val="top"/>
            <w:tcMar>
              <w:top w:w="80" w:type="dxa"/>
              <w:start w:w="120" w:type="dxa"/>
              <w:bottom w:w="80" w:type="dxa"/>
              <w:end w:w="120" w:type="dxa"/>
            </w:tcMar>
          </w:tcPr>
          <w:p>
            <w:pPr>
              <w:spacing w:after="0"/>
            </w:pPr>
            <w:r>
              <w:rPr>
                <w:rFonts w:ascii="Aptos" w:hAnsi="Aptos" w:eastAsia="Aptos"/>
                <w:sz w:val="18"/>
              </w:rPr>
              <w:t>Greeting someone at work / well done.</w:t>
            </w:r>
          </w:p>
        </w:tc>
        <w:tc>
          <w:tcPr>
            <w:tcW w:type="dxa" w:w="3210"/>
            <w:vAlign w:val="top"/>
            <w:tcMar>
              <w:top w:w="80" w:type="dxa"/>
              <w:start w:w="120" w:type="dxa"/>
              <w:bottom w:w="80" w:type="dxa"/>
              <w:end w:w="120" w:type="dxa"/>
            </w:tcMar>
          </w:tcPr>
          <w:p>
            <w:pPr>
              <w:spacing w:after="0"/>
            </w:pPr>
            <w:r>
              <w:rPr>
                <w:rFonts w:ascii="Aptos" w:hAnsi="Aptos" w:eastAsia="Aptos"/>
                <w:sz w:val="18"/>
              </w:rPr>
              <w:t>Greets the activity, not a generic 'hi'.</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Ẹ kú àbọ̀.</w:t>
            </w:r>
          </w:p>
        </w:tc>
        <w:tc>
          <w:tcPr>
            <w:tcW w:type="dxa" w:w="3550"/>
            <w:vAlign w:val="top"/>
            <w:tcMar>
              <w:top w:w="80" w:type="dxa"/>
              <w:start w:w="120" w:type="dxa"/>
              <w:bottom w:w="80" w:type="dxa"/>
              <w:end w:w="120" w:type="dxa"/>
            </w:tcMar>
          </w:tcPr>
          <w:p>
            <w:pPr>
              <w:spacing w:after="0"/>
            </w:pPr>
            <w:r>
              <w:rPr>
                <w:rFonts w:ascii="Aptos" w:hAnsi="Aptos" w:eastAsia="Aptos"/>
                <w:sz w:val="18"/>
              </w:rPr>
              <w:t>Welcome back.</w:t>
            </w:r>
          </w:p>
        </w:tc>
        <w:tc>
          <w:tcPr>
            <w:tcW w:type="dxa" w:w="3210"/>
            <w:vAlign w:val="top"/>
            <w:tcMar>
              <w:top w:w="80" w:type="dxa"/>
              <w:start w:w="120" w:type="dxa"/>
              <w:bottom w:w="80" w:type="dxa"/>
              <w:end w:w="120" w:type="dxa"/>
            </w:tcMar>
          </w:tcPr>
          <w:p>
            <w:pPr>
              <w:spacing w:after="0"/>
            </w:pPr>
            <w:r>
              <w:rPr>
                <w:rFonts w:ascii="Aptos" w:hAnsi="Aptos" w:eastAsia="Aptos"/>
                <w:sz w:val="18"/>
              </w:rPr>
              <w:t>Situational greeting.</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Ẹ ṣeun.</w:t>
            </w:r>
          </w:p>
        </w:tc>
        <w:tc>
          <w:tcPr>
            <w:tcW w:type="dxa" w:w="3550"/>
            <w:vAlign w:val="top"/>
            <w:tcMar>
              <w:top w:w="80" w:type="dxa"/>
              <w:start w:w="120" w:type="dxa"/>
              <w:bottom w:w="80" w:type="dxa"/>
              <w:end w:w="120" w:type="dxa"/>
            </w:tcMar>
          </w:tcPr>
          <w:p>
            <w:pPr>
              <w:spacing w:after="0"/>
            </w:pPr>
            <w:r>
              <w:rPr>
                <w:rFonts w:ascii="Aptos" w:hAnsi="Aptos" w:eastAsia="Aptos"/>
                <w:sz w:val="18"/>
              </w:rPr>
              <w:t>Thank you.</w:t>
            </w:r>
          </w:p>
        </w:tc>
        <w:tc>
          <w:tcPr>
            <w:tcW w:type="dxa" w:w="3210"/>
            <w:vAlign w:val="top"/>
            <w:tcMar>
              <w:top w:w="80" w:type="dxa"/>
              <w:start w:w="120" w:type="dxa"/>
              <w:bottom w:w="80" w:type="dxa"/>
              <w:end w:w="120" w:type="dxa"/>
            </w:tcMar>
          </w:tcPr>
          <w:p>
            <w:pPr>
              <w:spacing w:after="0"/>
            </w:pPr>
            <w:r>
              <w:rPr>
                <w:rFonts w:ascii="Aptos" w:hAnsi="Aptos" w:eastAsia="Aptos"/>
                <w:sz w:val="18"/>
              </w:rPr>
              <w:t>Respectful/plural; compare informal later with tutor guidance.</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Báwo ni?</w:t>
            </w:r>
          </w:p>
        </w:tc>
        <w:tc>
          <w:tcPr>
            <w:tcW w:type="dxa" w:w="3550"/>
            <w:vAlign w:val="top"/>
            <w:tcMar>
              <w:top w:w="80" w:type="dxa"/>
              <w:start w:w="120" w:type="dxa"/>
              <w:bottom w:w="80" w:type="dxa"/>
              <w:end w:w="120" w:type="dxa"/>
            </w:tcMar>
          </w:tcPr>
          <w:p>
            <w:pPr>
              <w:spacing w:after="0"/>
            </w:pPr>
            <w:r>
              <w:rPr>
                <w:rFonts w:ascii="Aptos" w:hAnsi="Aptos" w:eastAsia="Aptos"/>
                <w:sz w:val="18"/>
              </w:rPr>
              <w:t>How are things?</w:t>
            </w:r>
          </w:p>
        </w:tc>
        <w:tc>
          <w:tcPr>
            <w:tcW w:type="dxa" w:w="3210"/>
            <w:vAlign w:val="top"/>
            <w:tcMar>
              <w:top w:w="80" w:type="dxa"/>
              <w:start w:w="120" w:type="dxa"/>
              <w:bottom w:w="80" w:type="dxa"/>
              <w:end w:w="120" w:type="dxa"/>
            </w:tcMar>
          </w:tcPr>
          <w:p>
            <w:pPr>
              <w:spacing w:after="0"/>
            </w:pPr>
            <w:r>
              <w:rPr>
                <w:rFonts w:ascii="Aptos" w:hAnsi="Aptos" w:eastAsia="Aptos"/>
                <w:sz w:val="18"/>
              </w:rPr>
              <w:t>Follow with an appropriate person/register frame.</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8"/>
              </w:rPr>
              <w:t>Mo wà dáadáa.</w:t>
            </w:r>
          </w:p>
        </w:tc>
        <w:tc>
          <w:tcPr>
            <w:tcW w:type="dxa" w:w="3550"/>
            <w:vAlign w:val="top"/>
            <w:tcMar>
              <w:top w:w="80" w:type="dxa"/>
              <w:start w:w="120" w:type="dxa"/>
              <w:bottom w:w="80" w:type="dxa"/>
              <w:end w:w="120" w:type="dxa"/>
            </w:tcMar>
          </w:tcPr>
          <w:p>
            <w:pPr>
              <w:spacing w:after="0"/>
            </w:pPr>
            <w:r>
              <w:rPr>
                <w:rFonts w:ascii="Aptos" w:hAnsi="Aptos" w:eastAsia="Aptos"/>
                <w:sz w:val="18"/>
              </w:rPr>
              <w:t>I am well.</w:t>
            </w:r>
          </w:p>
        </w:tc>
        <w:tc>
          <w:tcPr>
            <w:tcW w:type="dxa" w:w="3210"/>
            <w:vAlign w:val="top"/>
            <w:tcMar>
              <w:top w:w="80" w:type="dxa"/>
              <w:start w:w="120" w:type="dxa"/>
              <w:bottom w:w="80" w:type="dxa"/>
              <w:end w:w="120" w:type="dxa"/>
            </w:tcMar>
          </w:tcPr>
          <w:p>
            <w:pPr>
              <w:spacing w:after="0"/>
            </w:pPr>
            <w:r>
              <w:rPr>
                <w:rFonts w:ascii="Aptos" w:hAnsi="Aptos" w:eastAsia="Aptos"/>
                <w:sz w:val="18"/>
              </w:rPr>
              <w:t>Practice as a complete answer.</w:t>
            </w:r>
          </w:p>
        </w:tc>
      </w:tr>
    </w:tbl>
    <w:p>
      <w:pPr>
        <w:pStyle w:val="Heading2"/>
      </w:pPr>
      <w:r>
        <w:t>9. Pronunciation diagnostic</w:t>
      </w:r>
    </w:p>
    <w:p>
      <w:pPr>
        <w:pStyle w:val="ListBullet"/>
        <w:spacing w:after="80" w:line="300" w:lineRule="auto"/>
      </w:pPr>
      <w:r>
        <w:t>Letter recognition: circle every ẹ, ọ, ṣ, and gb in a marked paragraph.</w:t>
      </w:r>
    </w:p>
    <w:p>
      <w:pPr>
        <w:pStyle w:val="ListBullet"/>
        <w:spacing w:after="80" w:line="300" w:lineRule="auto"/>
      </w:pPr>
      <w:r>
        <w:t>Vowel discrimination: 20 audio items contrasting e/ẹ and o/ọ.</w:t>
      </w:r>
    </w:p>
    <w:p>
      <w:pPr>
        <w:pStyle w:val="ListBullet"/>
        <w:spacing w:after="80" w:line="300" w:lineRule="auto"/>
      </w:pPr>
      <w:r>
        <w:t>Consonant production: record p [k͡p], gb [ɡ͡b], s, and ṣ in tutor-provided words.</w:t>
      </w:r>
    </w:p>
    <w:p>
      <w:pPr>
        <w:pStyle w:val="ListBullet"/>
        <w:spacing w:after="80" w:line="300" w:lineRule="auto"/>
      </w:pPr>
      <w:r>
        <w:t>Tone discrimination: 18 same-segment items with high/mid/low choices.</w:t>
      </w:r>
    </w:p>
    <w:p>
      <w:pPr>
        <w:pStyle w:val="ListBullet"/>
        <w:spacing w:after="80" w:line="300" w:lineRule="auto"/>
      </w:pPr>
      <w:r>
        <w:t>Marked transcription: hear 10 known words and add underdots and tone marks.</w:t>
      </w:r>
    </w:p>
    <w:p>
      <w:pPr>
        <w:pStyle w:val="ListBullet"/>
        <w:spacing w:after="80" w:line="300" w:lineRule="auto"/>
      </w:pPr>
      <w:r>
        <w:t>Register: choose o versus ẹ and singular versus honorific wọ́n in six scenarios.</w:t>
      </w:r>
    </w:p>
    <w:p>
      <w:r>
        <w:br w:type="page"/>
      </w:r>
    </w:p>
    <w:p>
      <w:pPr>
        <w:pStyle w:val="Heading1"/>
      </w:pPr>
      <w:r>
        <w:t>Part 3. Module 1: Novice - Foundations, Sound, and Survival Communication</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E8EEF5"/>
          </w:tcPr>
          <w:p>
            <w:pPr>
              <w:spacing w:after="0"/>
            </w:pPr>
            <w:r>
              <w:rPr>
                <w:rFonts w:ascii="Aptos" w:hAnsi="Aptos" w:eastAsia="Aptos"/>
                <w:b/>
                <w:color w:val="0B2545"/>
              </w:rPr>
              <w:t xml:space="preserve">TARGET </w:t>
            </w:r>
            <w:r>
              <w:t>Absolute beginner to controlled A1/A2-oriented performance</w:t>
            </w:r>
          </w:p>
        </w:tc>
      </w:tr>
    </w:tbl>
    <w:p>
      <w:pPr>
        <w:spacing w:after="0"/>
      </w:pPr>
    </w:p>
    <w:p>
      <w:pPr>
        <w:spacing w:before="140" w:after="100"/>
        <w:jc w:val="center"/>
      </w:pPr>
      <w:r>
        <w:drawing>
          <wp:inline xmlns:a="http://schemas.openxmlformats.org/drawingml/2006/main" xmlns:pic="http://schemas.openxmlformats.org/drawingml/2006/picture">
            <wp:extent cx="5257800" cy="2959085"/>
            <wp:docPr id="3" name="Picture 3" descr="Abstract indigo pitch signals representing the three Yorùbá tone levels" title="Abstract indigo pitch signals representing the three Yorùbá tone levels"/>
            <wp:cNvGraphicFramePr>
              <a:graphicFrameLocks noChangeAspect="1"/>
            </wp:cNvGraphicFramePr>
            <a:graphic>
              <a:graphicData uri="http://schemas.openxmlformats.org/drawingml/2006/picture">
                <pic:pic>
                  <pic:nvPicPr>
                    <pic:cNvPr id="0" name="tone-signal-openai.png"/>
                    <pic:cNvPicPr/>
                  </pic:nvPicPr>
                  <pic:blipFill>
                    <a:blip r:embed="rId12"/>
                    <a:stretch>
                      <a:fillRect/>
                    </a:stretch>
                  </pic:blipFill>
                  <pic:spPr>
                    <a:xfrm>
                      <a:off x="0" y="0"/>
                      <a:ext cx="5257800" cy="2959085"/>
                    </a:xfrm>
                    <a:prstGeom prst="rect"/>
                  </pic:spPr>
                </pic:pic>
              </a:graphicData>
            </a:graphic>
          </wp:inline>
        </w:drawing>
      </w:r>
    </w:p>
    <w:p>
      <w:r>
        <w:t>Build a dependable sound-to-symbol system, foundational grammar, high-frequency vocabulary, and culturally appropriate everyday interaction.</w:t>
      </w:r>
    </w:p>
    <w:p>
      <w:r>
        <w:rPr>
          <w:rFonts w:ascii="Aptos" w:hAnsi="Aptos" w:eastAsia="Aptos"/>
          <w:b/>
          <w:color w:val="1F4D78"/>
        </w:rPr>
        <w:t xml:space="preserve">Institutional alignment: </w:t>
      </w:r>
      <w:r>
        <w:t>OOU 100-level phonetics/phonology and elementary grammar; UNILAG YLCIP basic domains; SOAS Beginners 1; UI foreign/second-language flexibility.</w:t>
      </w:r>
    </w:p>
    <w:p>
      <w:pPr>
        <w:pStyle w:val="Heading2"/>
      </w:pPr>
      <w:r>
        <w:t>Exit outcomes</w:t>
      </w:r>
    </w:p>
    <w:p>
      <w:pPr>
        <w:pStyle w:val="ListBullet"/>
        <w:spacing w:after="80" w:line="300" w:lineRule="auto"/>
      </w:pPr>
      <w:r>
        <w:t>Read and type the 25-letter alphabet, including ẹ, ọ, ṣ and gb, and apply high/mid/low tone marks to taught vocabulary.</w:t>
      </w:r>
    </w:p>
    <w:p>
      <w:pPr>
        <w:pStyle w:val="ListBullet"/>
        <w:spacing w:after="80" w:line="300" w:lineRule="auto"/>
      </w:pPr>
      <w:r>
        <w:t>Greet by time and situation; choose respectful ẹ and honorific wọ́n appropriately in rehearsed contexts.</w:t>
      </w:r>
    </w:p>
    <w:p>
      <w:pPr>
        <w:pStyle w:val="ListBullet"/>
        <w:spacing w:after="80" w:line="300" w:lineRule="auto"/>
      </w:pPr>
      <w:r>
        <w:t>Exchange identity, origin, family, time, number, food, home, school, market, and transport information.</w:t>
      </w:r>
    </w:p>
    <w:p>
      <w:pPr>
        <w:pStyle w:val="ListBullet"/>
        <w:spacing w:after="80" w:line="300" w:lineRule="auto"/>
      </w:pPr>
      <w:r>
        <w:t>Use basic SVO clauses, core pronouns, location ní/sí, aspect/time frames, negation, and common questions.</w:t>
      </w:r>
    </w:p>
    <w:p>
      <w:pPr>
        <w:pStyle w:val="ListBullet"/>
        <w:spacing w:after="80" w:line="300" w:lineRule="auto"/>
      </w:pPr>
      <w:r>
        <w:t>Produce a 40-80-word marked text and a 2-3-minute structured speaking sample.</w:t>
      </w:r>
    </w:p>
    <w:p>
      <w:pPr>
        <w:pStyle w:val="Heading2"/>
      </w:pPr>
      <w:r>
        <w:t>Unit sequence</w:t>
      </w:r>
    </w:p>
    <w:p>
      <w:pPr>
        <w:pStyle w:val="Heading3"/>
        <w:keepNext/>
      </w:pPr>
      <w:r>
        <w:t>Unit 1. Alphabet, vowel map, syllables, and typing</w:t>
      </w:r>
    </w:p>
    <w:p>
      <w:r>
        <w:rPr>
          <w:rFonts w:ascii="Aptos" w:hAnsi="Aptos" w:eastAsia="Aptos"/>
          <w:b/>
          <w:color w:val="0B2545"/>
        </w:rPr>
        <w:t xml:space="preserve">Language and knowledge focus. </w:t>
      </w:r>
      <w:r>
        <w:t>25 letters; gb as one letter; seven oral vowels; nasal vowels; (C)V(N) syllable patterns.</w:t>
      </w:r>
    </w:p>
    <w:p>
      <w:r>
        <w:rPr>
          <w:rFonts w:ascii="Aptos" w:hAnsi="Aptos" w:eastAsia="Aptos"/>
          <w:b/>
          <w:color w:val="0B2545"/>
        </w:rPr>
        <w:t xml:space="preserve">Studio / field practice. </w:t>
      </w:r>
      <w:r>
        <w:t>Set up a diacritic keyboard; complete letter/vowel discrimination; read a fully marked word list.</w:t>
      </w:r>
    </w:p>
    <w:p>
      <w:r>
        <w:rPr>
          <w:rFonts w:ascii="Aptos" w:hAnsi="Aptos" w:eastAsia="Aptos"/>
          <w:b/>
          <w:color w:val="0B2545"/>
        </w:rPr>
        <w:t xml:space="preserve">Evidence. </w:t>
      </w:r>
      <w:r>
        <w:t>Alphabet/vowel dictation and 45-second recording.</w:t>
      </w:r>
    </w:p>
    <w:p>
      <w:pPr>
        <w:pStyle w:val="Heading3"/>
        <w:keepNext/>
      </w:pPr>
      <w:r>
        <w:t>Unit 2. High, mid, and low tone as meaning</w:t>
      </w:r>
    </w:p>
    <w:p>
      <w:r>
        <w:rPr>
          <w:rFonts w:ascii="Aptos" w:hAnsi="Aptos" w:eastAsia="Aptos"/>
          <w:b/>
          <w:color w:val="0B2545"/>
        </w:rPr>
        <w:t xml:space="preserve">Language and knowledge focus. </w:t>
      </w:r>
      <w:r>
        <w:t>Tone marks; tone-bearing syllables; long/double-vowel contour awareness; syllabic nasals.</w:t>
      </w:r>
    </w:p>
    <w:p>
      <w:r>
        <w:rPr>
          <w:rFonts w:ascii="Aptos" w:hAnsi="Aptos" w:eastAsia="Aptos"/>
          <w:b/>
          <w:color w:val="0B2545"/>
        </w:rPr>
        <w:t xml:space="preserve">Studio / field practice. </w:t>
      </w:r>
      <w:r>
        <w:t>Hum-say-shadow-record; distinguish ọkọ́ / ọkọ̀ / ọ̀kọ̀; build a personal minimal-set deck.</w:t>
      </w:r>
    </w:p>
    <w:p>
      <w:r>
        <w:rPr>
          <w:rFonts w:ascii="Aptos" w:hAnsi="Aptos" w:eastAsia="Aptos"/>
          <w:b/>
          <w:color w:val="0B2545"/>
        </w:rPr>
        <w:t xml:space="preserve">Evidence. </w:t>
      </w:r>
      <w:r>
        <w:t>18-item tone discrimination + marked transcription.</w:t>
      </w:r>
    </w:p>
    <w:p>
      <w:pPr>
        <w:pStyle w:val="Heading3"/>
        <w:keepNext/>
      </w:pPr>
      <w:r>
        <w:t>Unit 3. Greetings, respect, and social entry</w:t>
      </w:r>
    </w:p>
    <w:p>
      <w:r>
        <w:rPr>
          <w:rFonts w:ascii="Aptos" w:hAnsi="Aptos" w:eastAsia="Aptos"/>
          <w:b/>
          <w:color w:val="0B2545"/>
        </w:rPr>
        <w:t xml:space="preserve">Language and knowledge focus. </w:t>
      </w:r>
      <w:r>
        <w:t>Ẹ káàárọ̀ / Ẹ káàsán / Ẹ káalẹ́; Ẹ kú + situation; ẹ vs o; wọ́n honorific.</w:t>
      </w:r>
    </w:p>
    <w:p>
      <w:r>
        <w:rPr>
          <w:rFonts w:ascii="Aptos" w:hAnsi="Aptos" w:eastAsia="Aptos"/>
          <w:b/>
          <w:color w:val="0B2545"/>
        </w:rPr>
        <w:t xml:space="preserve">Studio / field practice. </w:t>
      </w:r>
      <w:r>
        <w:t>Greeting carousel for elder, peer, group, worker, arrival, and departure.</w:t>
      </w:r>
    </w:p>
    <w:p>
      <w:r>
        <w:rPr>
          <w:rFonts w:ascii="Aptos" w:hAnsi="Aptos" w:eastAsia="Aptos"/>
          <w:b/>
          <w:color w:val="0B2545"/>
        </w:rPr>
        <w:t xml:space="preserve">Evidence. </w:t>
      </w:r>
      <w:r>
        <w:t>Six-scenario register role-play.</w:t>
      </w:r>
    </w:p>
    <w:p>
      <w:pPr>
        <w:pStyle w:val="Heading3"/>
        <w:keepNext/>
      </w:pPr>
      <w:r>
        <w:t>Unit 4. Identity, origin, and basic pronouns</w:t>
      </w:r>
    </w:p>
    <w:p>
      <w:r>
        <w:rPr>
          <w:rFonts w:ascii="Aptos" w:hAnsi="Aptos" w:eastAsia="Aptos"/>
          <w:b/>
          <w:color w:val="0B2545"/>
        </w:rPr>
        <w:t xml:space="preserve">Language and knowledge focus. </w:t>
      </w:r>
      <w:r>
        <w:t>mo, o, ó, a, ẹ, wọ́n; copular/identification frames; who/what questions.</w:t>
      </w:r>
    </w:p>
    <w:p>
      <w:r>
        <w:rPr>
          <w:rFonts w:ascii="Aptos" w:hAnsi="Aptos" w:eastAsia="Aptos"/>
          <w:b/>
          <w:color w:val="0B2545"/>
        </w:rPr>
        <w:t xml:space="preserve">Studio / field practice. </w:t>
      </w:r>
      <w:r>
        <w:t>Introduce self and a classmate; ask name, residence, work, and origin.</w:t>
      </w:r>
    </w:p>
    <w:p>
      <w:r>
        <w:rPr>
          <w:rFonts w:ascii="Aptos" w:hAnsi="Aptos" w:eastAsia="Aptos"/>
          <w:b/>
          <w:color w:val="0B2545"/>
        </w:rPr>
        <w:t xml:space="preserve">Evidence. </w:t>
      </w:r>
      <w:r>
        <w:t>One-minute introduction + marked profile.</w:t>
      </w:r>
    </w:p>
    <w:p>
      <w:pPr>
        <w:pStyle w:val="Heading3"/>
        <w:keepNext/>
      </w:pPr>
      <w:r>
        <w:t>Unit 5. Family, possession, and people</w:t>
      </w:r>
    </w:p>
    <w:p>
      <w:r>
        <w:rPr>
          <w:rFonts w:ascii="Aptos" w:hAnsi="Aptos" w:eastAsia="Aptos"/>
          <w:b/>
          <w:color w:val="0B2545"/>
        </w:rPr>
        <w:t xml:space="preserve">Language and knowledge focus. </w:t>
      </w:r>
      <w:r>
        <w:t>family terms; possessive constructions; object/emphatic pronoun awareness; descriptions.</w:t>
      </w:r>
    </w:p>
    <w:p>
      <w:r>
        <w:rPr>
          <w:rFonts w:ascii="Aptos" w:hAnsi="Aptos" w:eastAsia="Aptos"/>
          <w:b/>
          <w:color w:val="0B2545"/>
        </w:rPr>
        <w:t xml:space="preserve">Studio / field practice. </w:t>
      </w:r>
      <w:r>
        <w:t>Create a culturally neutral family/social network map; introduce three people with appropriate respect.</w:t>
      </w:r>
    </w:p>
    <w:p>
      <w:r>
        <w:rPr>
          <w:rFonts w:ascii="Aptos" w:hAnsi="Aptos" w:eastAsia="Aptos"/>
          <w:b/>
          <w:color w:val="0B2545"/>
        </w:rPr>
        <w:t xml:space="preserve">Evidence. </w:t>
      </w:r>
      <w:r>
        <w:t>Listening identification + 60-word description.</w:t>
      </w:r>
    </w:p>
    <w:p>
      <w:pPr>
        <w:pStyle w:val="Heading3"/>
        <w:keepNext/>
      </w:pPr>
      <w:r>
        <w:t>Unit 6. Numbers, money, dates, and time</w:t>
      </w:r>
    </w:p>
    <w:p>
      <w:r>
        <w:rPr>
          <w:rFonts w:ascii="Aptos" w:hAnsi="Aptos" w:eastAsia="Aptos"/>
          <w:b/>
          <w:color w:val="0B2545"/>
        </w:rPr>
        <w:t xml:space="preserve">Language and knowledge focus. </w:t>
      </w:r>
      <w:r>
        <w:t>0-100 first; higher amounts; ọjọ́/ọ̀sẹ̀/osù; time expressions; mélòó.</w:t>
      </w:r>
    </w:p>
    <w:p>
      <w:r>
        <w:rPr>
          <w:rFonts w:ascii="Aptos" w:hAnsi="Aptos" w:eastAsia="Aptos"/>
          <w:b/>
          <w:color w:val="0B2545"/>
        </w:rPr>
        <w:t xml:space="preserve">Studio / field practice. </w:t>
      </w:r>
      <w:r>
        <w:t>Price dictation, phone-number exchange, timetable, and calendar interview.</w:t>
      </w:r>
    </w:p>
    <w:p>
      <w:r>
        <w:rPr>
          <w:rFonts w:ascii="Aptos" w:hAnsi="Aptos" w:eastAsia="Aptos"/>
          <w:b/>
          <w:color w:val="0B2545"/>
        </w:rPr>
        <w:t xml:space="preserve">Evidence. </w:t>
      </w:r>
      <w:r>
        <w:t>Timed number/money listening and speaking.</w:t>
      </w:r>
    </w:p>
    <w:p>
      <w:pPr>
        <w:pStyle w:val="Heading3"/>
        <w:keepNext/>
      </w:pPr>
      <w:r>
        <w:t>Unit 7. Food, market, home, and location</w:t>
      </w:r>
    </w:p>
    <w:p>
      <w:r>
        <w:rPr>
          <w:rFonts w:ascii="Aptos" w:hAnsi="Aptos" w:eastAsia="Aptos"/>
          <w:b/>
          <w:color w:val="0B2545"/>
        </w:rPr>
        <w:t xml:space="preserve">Language and knowledge focus. </w:t>
      </w:r>
      <w:r>
        <w:t>food/home vocabulary; ní and sí; requests with jọ̀wọ́; simple quantities.</w:t>
      </w:r>
    </w:p>
    <w:p>
      <w:r>
        <w:rPr>
          <w:rFonts w:ascii="Aptos" w:hAnsi="Aptos" w:eastAsia="Aptos"/>
          <w:b/>
          <w:color w:val="0B2545"/>
        </w:rPr>
        <w:t xml:space="preserve">Studio / field practice. </w:t>
      </w:r>
      <w:r>
        <w:t>Order food, locate household items, make a short shopping list, and ask a price.</w:t>
      </w:r>
    </w:p>
    <w:p>
      <w:r>
        <w:rPr>
          <w:rFonts w:ascii="Aptos" w:hAnsi="Aptos" w:eastAsia="Aptos"/>
          <w:b/>
          <w:color w:val="0B2545"/>
        </w:rPr>
        <w:t xml:space="preserve">Evidence. </w:t>
      </w:r>
      <w:r>
        <w:t>Market micro-role-play + marked list.</w:t>
      </w:r>
    </w:p>
    <w:p>
      <w:pPr>
        <w:pStyle w:val="Heading3"/>
        <w:keepNext/>
      </w:pPr>
      <w:r>
        <w:t>Unit 8. Core clause system and novice checkpoint</w:t>
      </w:r>
    </w:p>
    <w:p>
      <w:r>
        <w:rPr>
          <w:rFonts w:ascii="Aptos" w:hAnsi="Aptos" w:eastAsia="Aptos"/>
          <w:b/>
          <w:color w:val="0B2545"/>
        </w:rPr>
        <w:t xml:space="preserve">Language and knowledge focus. </w:t>
      </w:r>
      <w:r>
        <w:t>unmarked verb; ń progressive; ti perfect; máa/yóò future; kò/ò/kì í at controlled level; ṣé/àbí/ta ni/kí ni/nibo/ìgbà wo.</w:t>
      </w:r>
    </w:p>
    <w:p>
      <w:r>
        <w:rPr>
          <w:rFonts w:ascii="Aptos" w:hAnsi="Aptos" w:eastAsia="Aptos"/>
          <w:b/>
          <w:color w:val="0B2545"/>
        </w:rPr>
        <w:t xml:space="preserve">Studio / field practice. </w:t>
      </w:r>
      <w:r>
        <w:t>Transform present-progressive-perfect-future frames; conduct a predictable interview.</w:t>
      </w:r>
    </w:p>
    <w:p>
      <w:r>
        <w:rPr>
          <w:rFonts w:ascii="Aptos" w:hAnsi="Aptos" w:eastAsia="Aptos"/>
          <w:b/>
          <w:color w:val="0B2545"/>
        </w:rPr>
        <w:t xml:space="preserve">Evidence. </w:t>
      </w:r>
      <w:r>
        <w:t>Integrated Module 1 exam and portfolio moderation.</w:t>
      </w:r>
    </w:p>
    <w:p>
      <w:pPr>
        <w:pStyle w:val="Heading2"/>
      </w:pPr>
      <w:r>
        <w:t>Module teaching cycle</w:t>
      </w:r>
    </w:p>
    <w:p>
      <w:pPr>
        <w:numPr>
          <w:ilvl w:val="0"/>
          <w:numId w:val="11"/>
        </w:numPr>
        <w:spacing w:after="80" w:line="300" w:lineRule="auto"/>
      </w:pPr>
      <w:r>
        <w:t>Preview: one can-do goal, one sound/tone target, one grammar frame, and one cultural question.</w:t>
      </w:r>
    </w:p>
    <w:p>
      <w:pPr>
        <w:numPr>
          <w:ilvl w:val="0"/>
          <w:numId w:val="11"/>
        </w:numPr>
        <w:spacing w:after="80" w:line="300" w:lineRule="auto"/>
      </w:pPr>
      <w:r>
        <w:t>Input: marked text plus audio; first for meaning, second for form, third for shadowing.</w:t>
      </w:r>
    </w:p>
    <w:p>
      <w:pPr>
        <w:numPr>
          <w:ilvl w:val="0"/>
          <w:numId w:val="11"/>
        </w:numPr>
        <w:spacing w:after="80" w:line="300" w:lineRule="auto"/>
      </w:pPr>
      <w:r>
        <w:t>Notice: underline the grammatical frame and annotate every tone/underdot that carries a contrast.</w:t>
      </w:r>
    </w:p>
    <w:p>
      <w:pPr>
        <w:numPr>
          <w:ilvl w:val="0"/>
          <w:numId w:val="11"/>
        </w:numPr>
        <w:spacing w:after="80" w:line="300" w:lineRule="auto"/>
      </w:pPr>
      <w:r>
        <w:t>Drill: substitution, transformation, both-direction translation, tone discrimination, and timed retrieval.</w:t>
      </w:r>
    </w:p>
    <w:p>
      <w:pPr>
        <w:numPr>
          <w:ilvl w:val="0"/>
          <w:numId w:val="11"/>
        </w:numPr>
        <w:spacing w:after="80" w:line="300" w:lineRule="auto"/>
      </w:pPr>
      <w:r>
        <w:t>Interaction: classroom-slow rehearsal, near-natural role-play, then a phone/voice-note version.</w:t>
      </w:r>
    </w:p>
    <w:p>
      <w:pPr>
        <w:numPr>
          <w:ilvl w:val="0"/>
          <w:numId w:val="11"/>
        </w:numPr>
        <w:spacing w:after="80" w:line="300" w:lineRule="auto"/>
      </w:pPr>
      <w:r>
        <w:t>Create: speaking and writing task with fully marked learner text where required by the module.</w:t>
      </w:r>
    </w:p>
    <w:p>
      <w:pPr>
        <w:numPr>
          <w:ilvl w:val="0"/>
          <w:numId w:val="11"/>
        </w:numPr>
        <w:spacing w:after="80" w:line="300" w:lineRule="auto"/>
      </w:pPr>
      <w:r>
        <w:t>Reflect: update error log; re-record/rewrite; schedule failed items for spaced review.</w:t>
      </w:r>
    </w:p>
    <w:p>
      <w:pPr>
        <w:pStyle w:val="Heading2"/>
      </w:pPr>
      <w:r>
        <w:t>Novice grammar reference</w:t>
      </w:r>
    </w:p>
    <w:tbl>
      <w:tblPr>
        <w:tblStyle w:val="TableGrid"/>
        <w:tblW w:type="dxa" w:w="9360"/>
        <w:jc w:val="left"/>
        <w:tblLayout w:type="fixed"/>
        <w:tblLook w:firstColumn="1" w:firstRow="1" w:lastColumn="0" w:lastRow="0" w:noHBand="0" w:noVBand="1" w:val="04A0"/>
        <w:tblInd w:w="120" w:type="dxa"/>
      </w:tblPr>
      <w:tblGrid>
        <w:gridCol w:w="1750"/>
        <w:gridCol w:w="2400"/>
        <w:gridCol w:w="5210"/>
      </w:tblGrid>
      <w:tr>
        <w:trPr>
          <w:tblHeader w:val="true"/>
          <w:cantSplit/>
        </w:trPr>
        <w:tc>
          <w:tcPr>
            <w:tcW w:type="dxa" w:w="1750"/>
            <w:shd w:fill="E8EEF5"/>
            <w:vAlign w:val="center"/>
            <w:tcMar>
              <w:top w:w="80" w:type="dxa"/>
              <w:start w:w="120" w:type="dxa"/>
              <w:bottom w:w="80" w:type="dxa"/>
              <w:end w:w="120" w:type="dxa"/>
            </w:tcMar>
          </w:tcPr>
          <w:p>
            <w:pPr>
              <w:spacing w:after="0"/>
            </w:pPr>
            <w:r>
              <w:rPr>
                <w:rFonts w:ascii="Aptos" w:hAnsi="Aptos" w:eastAsia="Aptos"/>
                <w:b/>
                <w:color w:val="0B2545"/>
                <w:sz w:val="18"/>
              </w:rPr>
              <w:t>Function</w:t>
            </w:r>
          </w:p>
        </w:tc>
        <w:tc>
          <w:tcPr>
            <w:tcW w:type="dxa" w:w="2400"/>
            <w:shd w:fill="E8EEF5"/>
            <w:vAlign w:val="center"/>
            <w:tcMar>
              <w:top w:w="80" w:type="dxa"/>
              <w:start w:w="120" w:type="dxa"/>
              <w:bottom w:w="80" w:type="dxa"/>
              <w:end w:w="120" w:type="dxa"/>
            </w:tcMar>
          </w:tcPr>
          <w:p>
            <w:pPr>
              <w:spacing w:after="0"/>
            </w:pPr>
            <w:r>
              <w:rPr>
                <w:rFonts w:ascii="Aptos" w:hAnsi="Aptos" w:eastAsia="Aptos"/>
                <w:b/>
                <w:color w:val="0B2545"/>
                <w:sz w:val="18"/>
              </w:rPr>
              <w:t>Core forms</w:t>
            </w:r>
          </w:p>
        </w:tc>
        <w:tc>
          <w:tcPr>
            <w:tcW w:type="dxa" w:w="5210"/>
            <w:shd w:fill="E8EEF5"/>
            <w:vAlign w:val="center"/>
            <w:tcMar>
              <w:top w:w="80" w:type="dxa"/>
              <w:start w:w="120" w:type="dxa"/>
              <w:bottom w:w="80" w:type="dxa"/>
              <w:end w:w="120" w:type="dxa"/>
            </w:tcMar>
          </w:tcPr>
          <w:p>
            <w:pPr>
              <w:spacing w:after="0"/>
            </w:pPr>
            <w:r>
              <w:rPr>
                <w:rFonts w:ascii="Aptos" w:hAnsi="Aptos" w:eastAsia="Aptos"/>
                <w:b/>
                <w:color w:val="0B2545"/>
                <w:sz w:val="18"/>
              </w:rPr>
              <w:t>Teaching contrast</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Subject pronouns</w:t>
            </w:r>
          </w:p>
        </w:tc>
        <w:tc>
          <w:tcPr>
            <w:tcW w:type="dxa" w:w="2400"/>
            <w:vAlign w:val="top"/>
            <w:tcMar>
              <w:top w:w="80" w:type="dxa"/>
              <w:start w:w="120" w:type="dxa"/>
              <w:bottom w:w="80" w:type="dxa"/>
              <w:end w:w="120" w:type="dxa"/>
            </w:tcMar>
          </w:tcPr>
          <w:p>
            <w:pPr>
              <w:spacing w:after="0"/>
            </w:pPr>
            <w:r>
              <w:rPr>
                <w:rFonts w:ascii="Aptos" w:hAnsi="Aptos" w:eastAsia="Aptos"/>
                <w:sz w:val="18"/>
              </w:rPr>
              <w:t>mo, o, ó, a, ẹ, wọ́n</w:t>
            </w:r>
          </w:p>
        </w:tc>
        <w:tc>
          <w:tcPr>
            <w:tcW w:type="dxa" w:w="5210"/>
            <w:vAlign w:val="top"/>
            <w:tcMar>
              <w:top w:w="80" w:type="dxa"/>
              <w:start w:w="120" w:type="dxa"/>
              <w:bottom w:w="80" w:type="dxa"/>
              <w:end w:w="120" w:type="dxa"/>
            </w:tcMar>
          </w:tcPr>
          <w:p>
            <w:pPr>
              <w:spacing w:after="0"/>
            </w:pPr>
            <w:r>
              <w:rPr>
                <w:rFonts w:ascii="Aptos" w:hAnsi="Aptos" w:eastAsia="Aptos"/>
                <w:sz w:val="18"/>
              </w:rPr>
              <w:t>Do not collapse informal o and respectful/plural ẹ; hear tone in ó.</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Progressive</w:t>
            </w:r>
          </w:p>
        </w:tc>
        <w:tc>
          <w:tcPr>
            <w:tcW w:type="dxa" w:w="2400"/>
            <w:vAlign w:val="top"/>
            <w:tcMar>
              <w:top w:w="80" w:type="dxa"/>
              <w:start w:w="120" w:type="dxa"/>
              <w:bottom w:w="80" w:type="dxa"/>
              <w:end w:w="120" w:type="dxa"/>
            </w:tcMar>
          </w:tcPr>
          <w:p>
            <w:pPr>
              <w:spacing w:after="0"/>
            </w:pPr>
            <w:r>
              <w:rPr>
                <w:rFonts w:ascii="Aptos" w:hAnsi="Aptos" w:eastAsia="Aptos"/>
                <w:sz w:val="18"/>
              </w:rPr>
              <w:t>ń + verb</w:t>
            </w:r>
          </w:p>
        </w:tc>
        <w:tc>
          <w:tcPr>
            <w:tcW w:type="dxa" w:w="5210"/>
            <w:vAlign w:val="top"/>
            <w:tcMar>
              <w:top w:w="80" w:type="dxa"/>
              <w:start w:w="120" w:type="dxa"/>
              <w:bottom w:w="80" w:type="dxa"/>
              <w:end w:w="120" w:type="dxa"/>
            </w:tcMar>
          </w:tcPr>
          <w:p>
            <w:pPr>
              <w:spacing w:after="0"/>
            </w:pPr>
            <w:r>
              <w:rPr>
                <w:rFonts w:ascii="Aptos" w:hAnsi="Aptos" w:eastAsia="Aptos"/>
                <w:sz w:val="18"/>
              </w:rPr>
              <w:t>Contrast an unmarked verb frame with an action in progress through audio and context.</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Perfect</w:t>
            </w:r>
          </w:p>
        </w:tc>
        <w:tc>
          <w:tcPr>
            <w:tcW w:type="dxa" w:w="2400"/>
            <w:vAlign w:val="top"/>
            <w:tcMar>
              <w:top w:w="80" w:type="dxa"/>
              <w:start w:w="120" w:type="dxa"/>
              <w:bottom w:w="80" w:type="dxa"/>
              <w:end w:w="120" w:type="dxa"/>
            </w:tcMar>
          </w:tcPr>
          <w:p>
            <w:pPr>
              <w:spacing w:after="0"/>
            </w:pPr>
            <w:r>
              <w:rPr>
                <w:rFonts w:ascii="Aptos" w:hAnsi="Aptos" w:eastAsia="Aptos"/>
                <w:sz w:val="18"/>
              </w:rPr>
              <w:t>ti + verb</w:t>
            </w:r>
          </w:p>
        </w:tc>
        <w:tc>
          <w:tcPr>
            <w:tcW w:type="dxa" w:w="5210"/>
            <w:vAlign w:val="top"/>
            <w:tcMar>
              <w:top w:w="80" w:type="dxa"/>
              <w:start w:w="120" w:type="dxa"/>
              <w:bottom w:w="80" w:type="dxa"/>
              <w:end w:w="120" w:type="dxa"/>
            </w:tcMar>
          </w:tcPr>
          <w:p>
            <w:pPr>
              <w:spacing w:after="0"/>
            </w:pPr>
            <w:r>
              <w:rPr>
                <w:rFonts w:ascii="Aptos" w:hAnsi="Aptos" w:eastAsia="Aptos"/>
                <w:sz w:val="18"/>
              </w:rPr>
              <w:t>Use for a completed/relevant state in controlled frames.</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Future/plans</w:t>
            </w:r>
          </w:p>
        </w:tc>
        <w:tc>
          <w:tcPr>
            <w:tcW w:type="dxa" w:w="2400"/>
            <w:vAlign w:val="top"/>
            <w:tcMar>
              <w:top w:w="80" w:type="dxa"/>
              <w:start w:w="120" w:type="dxa"/>
              <w:bottom w:w="80" w:type="dxa"/>
              <w:end w:w="120" w:type="dxa"/>
            </w:tcMar>
          </w:tcPr>
          <w:p>
            <w:pPr>
              <w:spacing w:after="0"/>
            </w:pPr>
            <w:r>
              <w:rPr>
                <w:rFonts w:ascii="Aptos" w:hAnsi="Aptos" w:eastAsia="Aptos"/>
                <w:sz w:val="18"/>
              </w:rPr>
              <w:t>máa / yóò + verb</w:t>
            </w:r>
          </w:p>
        </w:tc>
        <w:tc>
          <w:tcPr>
            <w:tcW w:type="dxa" w:w="5210"/>
            <w:vAlign w:val="top"/>
            <w:tcMar>
              <w:top w:w="80" w:type="dxa"/>
              <w:start w:w="120" w:type="dxa"/>
              <w:bottom w:w="80" w:type="dxa"/>
              <w:end w:w="120" w:type="dxa"/>
            </w:tcMar>
          </w:tcPr>
          <w:p>
            <w:pPr>
              <w:spacing w:after="0"/>
            </w:pPr>
            <w:r>
              <w:rPr>
                <w:rFonts w:ascii="Aptos" w:hAnsi="Aptos" w:eastAsia="Aptos"/>
                <w:sz w:val="18"/>
              </w:rPr>
              <w:t>Begin with high-frequency planned-action frames; do not force one English tense equivalence.</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Negation</w:t>
            </w:r>
          </w:p>
        </w:tc>
        <w:tc>
          <w:tcPr>
            <w:tcW w:type="dxa" w:w="2400"/>
            <w:vAlign w:val="top"/>
            <w:tcMar>
              <w:top w:w="80" w:type="dxa"/>
              <w:start w:w="120" w:type="dxa"/>
              <w:bottom w:w="80" w:type="dxa"/>
              <w:end w:w="120" w:type="dxa"/>
            </w:tcMar>
          </w:tcPr>
          <w:p>
            <w:pPr>
              <w:spacing w:after="0"/>
            </w:pPr>
            <w:r>
              <w:rPr>
                <w:rFonts w:ascii="Aptos" w:hAnsi="Aptos" w:eastAsia="Aptos"/>
                <w:sz w:val="18"/>
              </w:rPr>
              <w:t>kò / ò / kì í</w:t>
            </w:r>
          </w:p>
        </w:tc>
        <w:tc>
          <w:tcPr>
            <w:tcW w:type="dxa" w:w="5210"/>
            <w:vAlign w:val="top"/>
            <w:tcMar>
              <w:top w:w="80" w:type="dxa"/>
              <w:start w:w="120" w:type="dxa"/>
              <w:bottom w:w="80" w:type="dxa"/>
              <w:end w:w="120" w:type="dxa"/>
            </w:tcMar>
          </w:tcPr>
          <w:p>
            <w:pPr>
              <w:spacing w:after="0"/>
            </w:pPr>
            <w:r>
              <w:rPr>
                <w:rFonts w:ascii="Aptos" w:hAnsi="Aptos" w:eastAsia="Aptos"/>
                <w:sz w:val="18"/>
              </w:rPr>
              <w:t>Teach inside complete, level-appropriate constructions, not as freely interchangeable words.</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Questions</w:t>
            </w:r>
          </w:p>
        </w:tc>
        <w:tc>
          <w:tcPr>
            <w:tcW w:type="dxa" w:w="2400"/>
            <w:vAlign w:val="top"/>
            <w:tcMar>
              <w:top w:w="80" w:type="dxa"/>
              <w:start w:w="120" w:type="dxa"/>
              <w:bottom w:w="80" w:type="dxa"/>
              <w:end w:w="120" w:type="dxa"/>
            </w:tcMar>
          </w:tcPr>
          <w:p>
            <w:pPr>
              <w:spacing w:after="0"/>
            </w:pPr>
            <w:r>
              <w:rPr>
                <w:rFonts w:ascii="Aptos" w:hAnsi="Aptos" w:eastAsia="Aptos"/>
                <w:sz w:val="18"/>
              </w:rPr>
              <w:t>ṣé, àbí, ta ni, kí ni, nibo, ìgbà wo, mélòó</w:t>
            </w:r>
          </w:p>
        </w:tc>
        <w:tc>
          <w:tcPr>
            <w:tcW w:type="dxa" w:w="5210"/>
            <w:vAlign w:val="top"/>
            <w:tcMar>
              <w:top w:w="80" w:type="dxa"/>
              <w:start w:w="120" w:type="dxa"/>
              <w:bottom w:w="80" w:type="dxa"/>
              <w:end w:w="120" w:type="dxa"/>
            </w:tcMar>
          </w:tcPr>
          <w:p>
            <w:pPr>
              <w:spacing w:after="0"/>
            </w:pPr>
            <w:r>
              <w:rPr>
                <w:rFonts w:ascii="Aptos" w:hAnsi="Aptos" w:eastAsia="Aptos"/>
                <w:sz w:val="18"/>
              </w:rPr>
              <w:t>Practice question-answer pairs with matching register.</w:t>
            </w:r>
          </w:p>
        </w:tc>
      </w:tr>
      <w:tr>
        <w:trPr>
          <w:cantSplit/>
        </w:trPr>
        <w:tc>
          <w:tcPr>
            <w:tcW w:type="dxa" w:w="1750"/>
            <w:vAlign w:val="top"/>
            <w:tcMar>
              <w:top w:w="80" w:type="dxa"/>
              <w:start w:w="120" w:type="dxa"/>
              <w:bottom w:w="80" w:type="dxa"/>
              <w:end w:w="120" w:type="dxa"/>
            </w:tcMar>
          </w:tcPr>
          <w:p>
            <w:pPr>
              <w:spacing w:after="0"/>
            </w:pPr>
            <w:r>
              <w:rPr>
                <w:rFonts w:ascii="Aptos" w:hAnsi="Aptos" w:eastAsia="Aptos"/>
                <w:sz w:val="18"/>
              </w:rPr>
              <w:t>Location/direction</w:t>
            </w:r>
          </w:p>
        </w:tc>
        <w:tc>
          <w:tcPr>
            <w:tcW w:type="dxa" w:w="2400"/>
            <w:vAlign w:val="top"/>
            <w:tcMar>
              <w:top w:w="80" w:type="dxa"/>
              <w:start w:w="120" w:type="dxa"/>
              <w:bottom w:w="80" w:type="dxa"/>
              <w:end w:w="120" w:type="dxa"/>
            </w:tcMar>
          </w:tcPr>
          <w:p>
            <w:pPr>
              <w:spacing w:after="0"/>
            </w:pPr>
            <w:r>
              <w:rPr>
                <w:rFonts w:ascii="Aptos" w:hAnsi="Aptos" w:eastAsia="Aptos"/>
                <w:sz w:val="18"/>
              </w:rPr>
              <w:t>ní / sí</w:t>
            </w:r>
          </w:p>
        </w:tc>
        <w:tc>
          <w:tcPr>
            <w:tcW w:type="dxa" w:w="5210"/>
            <w:vAlign w:val="top"/>
            <w:tcMar>
              <w:top w:w="80" w:type="dxa"/>
              <w:start w:w="120" w:type="dxa"/>
              <w:bottom w:w="80" w:type="dxa"/>
              <w:end w:w="120" w:type="dxa"/>
            </w:tcMar>
          </w:tcPr>
          <w:p>
            <w:pPr>
              <w:spacing w:after="0"/>
            </w:pPr>
            <w:r>
              <w:rPr>
                <w:rFonts w:ascii="Aptos" w:hAnsi="Aptos" w:eastAsia="Aptos"/>
                <w:sz w:val="18"/>
              </w:rPr>
              <w:t>Contrast location and goal in picture-based tasks.</w:t>
            </w:r>
          </w:p>
        </w:tc>
      </w:tr>
    </w:tbl>
    <w:p>
      <w:pPr>
        <w:pStyle w:val="Heading2"/>
      </w:pPr>
      <w:r>
        <w:t>Model dialogue: greeting and identity</w:t>
      </w:r>
    </w:p>
    <w:tbl>
      <w:tblPr>
        <w:tblStyle w:val="TableGrid"/>
        <w:tblW w:type="dxa" w:w="9360"/>
        <w:jc w:val="left"/>
        <w:tblLayout w:type="fixed"/>
        <w:tblLook w:firstColumn="1" w:firstRow="1" w:lastColumn="0" w:lastRow="0" w:noHBand="0" w:noVBand="1" w:val="04A0"/>
        <w:tblInd w:w="120" w:type="dxa"/>
      </w:tblPr>
      <w:tblGrid>
        <w:gridCol w:w="1100"/>
        <w:gridCol w:w="3500"/>
        <w:gridCol w:w="4760"/>
      </w:tblGrid>
      <w:tr>
        <w:trPr>
          <w:tblHeader w:val="true"/>
          <w:cantSplit/>
        </w:trPr>
        <w:tc>
          <w:tcPr>
            <w:tcW w:type="dxa" w:w="1100"/>
            <w:shd w:fill="E8EEF5"/>
            <w:vAlign w:val="center"/>
            <w:tcMar>
              <w:top w:w="80" w:type="dxa"/>
              <w:start w:w="120" w:type="dxa"/>
              <w:bottom w:w="80" w:type="dxa"/>
              <w:end w:w="120" w:type="dxa"/>
            </w:tcMar>
          </w:tcPr>
          <w:p>
            <w:pPr>
              <w:spacing w:after="0"/>
            </w:pPr>
            <w:r>
              <w:rPr>
                <w:rFonts w:ascii="Aptos" w:hAnsi="Aptos" w:eastAsia="Aptos"/>
                <w:b/>
                <w:color w:val="0B2545"/>
                <w:sz w:val="19"/>
              </w:rPr>
              <w:t>Speaker</w:t>
            </w:r>
          </w:p>
        </w:tc>
        <w:tc>
          <w:tcPr>
            <w:tcW w:type="dxa" w:w="3500"/>
            <w:shd w:fill="E8EEF5"/>
            <w:vAlign w:val="center"/>
            <w:tcMar>
              <w:top w:w="80" w:type="dxa"/>
              <w:start w:w="120" w:type="dxa"/>
              <w:bottom w:w="80" w:type="dxa"/>
              <w:end w:w="120" w:type="dxa"/>
            </w:tcMar>
          </w:tcPr>
          <w:p>
            <w:pPr>
              <w:spacing w:after="0"/>
            </w:pPr>
            <w:r>
              <w:rPr>
                <w:rFonts w:ascii="Aptos" w:hAnsi="Aptos" w:eastAsia="Aptos"/>
                <w:b/>
                <w:color w:val="0B2545"/>
                <w:sz w:val="19"/>
              </w:rPr>
              <w:t>Yorùbá</w:t>
            </w:r>
          </w:p>
        </w:tc>
        <w:tc>
          <w:tcPr>
            <w:tcW w:type="dxa" w:w="4760"/>
            <w:shd w:fill="E8EEF5"/>
            <w:vAlign w:val="center"/>
            <w:tcMar>
              <w:top w:w="80" w:type="dxa"/>
              <w:start w:w="120" w:type="dxa"/>
              <w:bottom w:w="80" w:type="dxa"/>
              <w:end w:w="120" w:type="dxa"/>
            </w:tcMar>
          </w:tcPr>
          <w:p>
            <w:pPr>
              <w:spacing w:after="0"/>
            </w:pPr>
            <w:r>
              <w:rPr>
                <w:rFonts w:ascii="Aptos" w:hAnsi="Aptos" w:eastAsia="Aptos"/>
                <w:b/>
                <w:color w:val="0B2545"/>
                <w:sz w:val="19"/>
              </w:rPr>
              <w:t>English function</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9"/>
              </w:rPr>
              <w:t>A</w:t>
            </w:r>
          </w:p>
        </w:tc>
        <w:tc>
          <w:tcPr>
            <w:tcW w:type="dxa" w:w="3500"/>
            <w:vAlign w:val="top"/>
            <w:tcMar>
              <w:top w:w="80" w:type="dxa"/>
              <w:start w:w="120" w:type="dxa"/>
              <w:bottom w:w="80" w:type="dxa"/>
              <w:end w:w="120" w:type="dxa"/>
            </w:tcMar>
          </w:tcPr>
          <w:p>
            <w:pPr>
              <w:spacing w:after="0"/>
            </w:pPr>
            <w:r>
              <w:rPr>
                <w:rFonts w:ascii="Aptos" w:hAnsi="Aptos" w:eastAsia="Aptos"/>
                <w:sz w:val="19"/>
              </w:rPr>
              <w:t>Ẹ káàárọ̀.</w:t>
            </w:r>
          </w:p>
        </w:tc>
        <w:tc>
          <w:tcPr>
            <w:tcW w:type="dxa" w:w="4760"/>
            <w:vAlign w:val="top"/>
            <w:tcMar>
              <w:top w:w="80" w:type="dxa"/>
              <w:start w:w="120" w:type="dxa"/>
              <w:bottom w:w="80" w:type="dxa"/>
              <w:end w:w="120" w:type="dxa"/>
            </w:tcMar>
          </w:tcPr>
          <w:p>
            <w:pPr>
              <w:spacing w:after="0"/>
            </w:pPr>
            <w:r>
              <w:rPr>
                <w:rFonts w:ascii="Aptos" w:hAnsi="Aptos" w:eastAsia="Aptos"/>
                <w:sz w:val="19"/>
              </w:rPr>
              <w:t>Good morning (respectful/plural).</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9"/>
              </w:rPr>
              <w:t>B</w:t>
            </w:r>
          </w:p>
        </w:tc>
        <w:tc>
          <w:tcPr>
            <w:tcW w:type="dxa" w:w="3500"/>
            <w:vAlign w:val="top"/>
            <w:tcMar>
              <w:top w:w="80" w:type="dxa"/>
              <w:start w:w="120" w:type="dxa"/>
              <w:bottom w:w="80" w:type="dxa"/>
              <w:end w:w="120" w:type="dxa"/>
            </w:tcMar>
          </w:tcPr>
          <w:p>
            <w:pPr>
              <w:spacing w:after="0"/>
            </w:pPr>
            <w:r>
              <w:rPr>
                <w:rFonts w:ascii="Aptos" w:hAnsi="Aptos" w:eastAsia="Aptos"/>
                <w:sz w:val="19"/>
              </w:rPr>
              <w:t>Ẹ káàárọ̀. Báwo ni?</w:t>
            </w:r>
          </w:p>
        </w:tc>
        <w:tc>
          <w:tcPr>
            <w:tcW w:type="dxa" w:w="4760"/>
            <w:vAlign w:val="top"/>
            <w:tcMar>
              <w:top w:w="80" w:type="dxa"/>
              <w:start w:w="120" w:type="dxa"/>
              <w:bottom w:w="80" w:type="dxa"/>
              <w:end w:w="120" w:type="dxa"/>
            </w:tcMar>
          </w:tcPr>
          <w:p>
            <w:pPr>
              <w:spacing w:after="0"/>
            </w:pPr>
            <w:r>
              <w:rPr>
                <w:rFonts w:ascii="Aptos" w:hAnsi="Aptos" w:eastAsia="Aptos"/>
                <w:sz w:val="19"/>
              </w:rPr>
              <w:t>Good morning. How are things?</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9"/>
              </w:rPr>
              <w:t>A</w:t>
            </w:r>
          </w:p>
        </w:tc>
        <w:tc>
          <w:tcPr>
            <w:tcW w:type="dxa" w:w="3500"/>
            <w:vAlign w:val="top"/>
            <w:tcMar>
              <w:top w:w="80" w:type="dxa"/>
              <w:start w:w="120" w:type="dxa"/>
              <w:bottom w:w="80" w:type="dxa"/>
              <w:end w:w="120" w:type="dxa"/>
            </w:tcMar>
          </w:tcPr>
          <w:p>
            <w:pPr>
              <w:spacing w:after="0"/>
            </w:pPr>
            <w:r>
              <w:rPr>
                <w:rFonts w:ascii="Aptos" w:hAnsi="Aptos" w:eastAsia="Aptos"/>
                <w:sz w:val="19"/>
              </w:rPr>
              <w:t>Mo wà dáadáa. Ẹ ṣeun.</w:t>
            </w:r>
          </w:p>
        </w:tc>
        <w:tc>
          <w:tcPr>
            <w:tcW w:type="dxa" w:w="4760"/>
            <w:vAlign w:val="top"/>
            <w:tcMar>
              <w:top w:w="80" w:type="dxa"/>
              <w:start w:w="120" w:type="dxa"/>
              <w:bottom w:w="80" w:type="dxa"/>
              <w:end w:w="120" w:type="dxa"/>
            </w:tcMar>
          </w:tcPr>
          <w:p>
            <w:pPr>
              <w:spacing w:after="0"/>
            </w:pPr>
            <w:r>
              <w:rPr>
                <w:rFonts w:ascii="Aptos" w:hAnsi="Aptos" w:eastAsia="Aptos"/>
                <w:sz w:val="19"/>
              </w:rPr>
              <w:t>I am well. Thank you.</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9"/>
              </w:rPr>
              <w:t>B</w:t>
            </w:r>
          </w:p>
        </w:tc>
        <w:tc>
          <w:tcPr>
            <w:tcW w:type="dxa" w:w="3500"/>
            <w:vAlign w:val="top"/>
            <w:tcMar>
              <w:top w:w="80" w:type="dxa"/>
              <w:start w:w="120" w:type="dxa"/>
              <w:bottom w:w="80" w:type="dxa"/>
              <w:end w:w="120" w:type="dxa"/>
            </w:tcMar>
          </w:tcPr>
          <w:p>
            <w:pPr>
              <w:spacing w:after="0"/>
            </w:pPr>
            <w:r>
              <w:rPr>
                <w:rFonts w:ascii="Aptos" w:hAnsi="Aptos" w:eastAsia="Aptos"/>
                <w:sz w:val="19"/>
              </w:rPr>
              <w:t>Kí ni orúkọ rẹ?</w:t>
            </w:r>
          </w:p>
        </w:tc>
        <w:tc>
          <w:tcPr>
            <w:tcW w:type="dxa" w:w="4760"/>
            <w:vAlign w:val="top"/>
            <w:tcMar>
              <w:top w:w="80" w:type="dxa"/>
              <w:start w:w="120" w:type="dxa"/>
              <w:bottom w:w="80" w:type="dxa"/>
              <w:end w:w="120" w:type="dxa"/>
            </w:tcMar>
          </w:tcPr>
          <w:p>
            <w:pPr>
              <w:spacing w:after="0"/>
            </w:pPr>
            <w:r>
              <w:rPr>
                <w:rFonts w:ascii="Aptos" w:hAnsi="Aptos" w:eastAsia="Aptos"/>
                <w:sz w:val="19"/>
              </w:rPr>
              <w:t>What is your name?</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9"/>
              </w:rPr>
              <w:t>A</w:t>
            </w:r>
          </w:p>
        </w:tc>
        <w:tc>
          <w:tcPr>
            <w:tcW w:type="dxa" w:w="3500"/>
            <w:vAlign w:val="top"/>
            <w:tcMar>
              <w:top w:w="80" w:type="dxa"/>
              <w:start w:w="120" w:type="dxa"/>
              <w:bottom w:w="80" w:type="dxa"/>
              <w:end w:w="120" w:type="dxa"/>
            </w:tcMar>
          </w:tcPr>
          <w:p>
            <w:pPr>
              <w:spacing w:after="0"/>
            </w:pPr>
            <w:r>
              <w:rPr>
                <w:rFonts w:ascii="Aptos" w:hAnsi="Aptos" w:eastAsia="Aptos"/>
                <w:sz w:val="19"/>
              </w:rPr>
              <w:t>Orúkọ mi ni Adé.</w:t>
            </w:r>
          </w:p>
        </w:tc>
        <w:tc>
          <w:tcPr>
            <w:tcW w:type="dxa" w:w="4760"/>
            <w:vAlign w:val="top"/>
            <w:tcMar>
              <w:top w:w="80" w:type="dxa"/>
              <w:start w:w="120" w:type="dxa"/>
              <w:bottom w:w="80" w:type="dxa"/>
              <w:end w:w="120" w:type="dxa"/>
            </w:tcMar>
          </w:tcPr>
          <w:p>
            <w:pPr>
              <w:spacing w:after="0"/>
            </w:pPr>
            <w:r>
              <w:rPr>
                <w:rFonts w:ascii="Aptos" w:hAnsi="Aptos" w:eastAsia="Aptos"/>
                <w:sz w:val="19"/>
              </w:rPr>
              <w:t>My name is Adé.</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9"/>
              </w:rPr>
              <w:t>B</w:t>
            </w:r>
          </w:p>
        </w:tc>
        <w:tc>
          <w:tcPr>
            <w:tcW w:type="dxa" w:w="3500"/>
            <w:vAlign w:val="top"/>
            <w:tcMar>
              <w:top w:w="80" w:type="dxa"/>
              <w:start w:w="120" w:type="dxa"/>
              <w:bottom w:w="80" w:type="dxa"/>
              <w:end w:w="120" w:type="dxa"/>
            </w:tcMar>
          </w:tcPr>
          <w:p>
            <w:pPr>
              <w:spacing w:after="0"/>
            </w:pPr>
            <w:r>
              <w:rPr>
                <w:rFonts w:ascii="Aptos" w:hAnsi="Aptos" w:eastAsia="Aptos"/>
                <w:sz w:val="19"/>
              </w:rPr>
              <w:t>Ẹ káàbọ̀, Adé.</w:t>
            </w:r>
          </w:p>
        </w:tc>
        <w:tc>
          <w:tcPr>
            <w:tcW w:type="dxa" w:w="4760"/>
            <w:vAlign w:val="top"/>
            <w:tcMar>
              <w:top w:w="80" w:type="dxa"/>
              <w:start w:w="120" w:type="dxa"/>
              <w:bottom w:w="80" w:type="dxa"/>
              <w:end w:w="120" w:type="dxa"/>
            </w:tcMar>
          </w:tcPr>
          <w:p>
            <w:pPr>
              <w:spacing w:after="0"/>
            </w:pPr>
            <w:r>
              <w:rPr>
                <w:rFonts w:ascii="Aptos" w:hAnsi="Aptos" w:eastAsia="Aptos"/>
                <w:sz w:val="19"/>
              </w:rPr>
              <w:t>Welcome, Adé.</w:t>
            </w:r>
          </w:p>
        </w:tc>
      </w:tr>
    </w:tbl>
    <w:p>
      <w:pPr>
        <w:pStyle w:val="Bibliography"/>
      </w:pPr>
      <w:r>
        <w:t>Tutor-validation note: the learner must submit both a respectful version and an informal peer version. The tutor confirms tone, coarticulation, and whether the chosen greeting fits the situation.</w:t>
      </w:r>
    </w:p>
    <w:p>
      <w:pPr>
        <w:pStyle w:val="Heading2"/>
      </w:pPr>
      <w:r>
        <w:t>Novice drill bank</w:t>
      </w:r>
    </w:p>
    <w:p>
      <w:pPr>
        <w:pStyle w:val="ListBullet"/>
        <w:spacing w:after="80" w:line="300" w:lineRule="auto"/>
      </w:pPr>
      <w:r>
        <w:t>Tone choice: hear one of ọkọ́ / ọkọ̀ / ọ̀kọ̀; select its picture and fully marked form.</w:t>
      </w:r>
    </w:p>
    <w:p>
      <w:pPr>
        <w:pStyle w:val="ListBullet"/>
        <w:spacing w:after="80" w:line="300" w:lineRule="auto"/>
      </w:pPr>
      <w:r>
        <w:t>Underdot choice: hear e/ẹ or o/ọ in a tutor-provided word; type the correct letter before seeing the answer.</w:t>
      </w:r>
    </w:p>
    <w:p>
      <w:pPr>
        <w:pStyle w:val="ListBullet"/>
        <w:spacing w:after="80" w:line="300" w:lineRule="auto"/>
      </w:pPr>
      <w:r>
        <w:t>Register transformation: change an informal peer utterance into respectful address and explain what changed.</w:t>
      </w:r>
    </w:p>
    <w:p>
      <w:pPr>
        <w:pStyle w:val="ListBullet"/>
        <w:spacing w:after="80" w:line="300" w:lineRule="auto"/>
      </w:pPr>
      <w:r>
        <w:t>Aspect transformation: use one familiar verb in unmarked, progressive, completed, and planned frames supplied by the tutor.</w:t>
      </w:r>
    </w:p>
    <w:p>
      <w:pPr>
        <w:pStyle w:val="ListBullet"/>
        <w:spacing w:after="80" w:line="300" w:lineRule="auto"/>
      </w:pPr>
      <w:r>
        <w:t>Question substitution: replace the question word while preserving word order and supplying a plausible answer.</w:t>
      </w:r>
    </w:p>
    <w:p>
      <w:pPr>
        <w:pStyle w:val="ListBullet"/>
        <w:spacing w:after="80" w:line="300" w:lineRule="auto"/>
      </w:pPr>
      <w:r>
        <w:t>Bidirectional translation: translate short controlled sentences into Yorùbá, wait one day, then translate them back without the English prompt.</w:t>
      </w:r>
    </w:p>
    <w:p>
      <w:pPr>
        <w:pStyle w:val="Heading2"/>
      </w:pPr>
      <w:r>
        <w:t>Module checkpoint blueprint</w:t>
      </w:r>
    </w:p>
    <w:tbl>
      <w:tblPr>
        <w:tblStyle w:val="TableGrid"/>
        <w:tblW w:type="dxa" w:w="9360"/>
        <w:jc w:val="left"/>
        <w:tblLayout w:type="fixed"/>
        <w:tblLook w:firstColumn="1" w:firstRow="1" w:lastColumn="0" w:lastRow="0" w:noHBand="0" w:noVBand="1" w:val="04A0"/>
        <w:tblInd w:w="120" w:type="dxa"/>
      </w:tblPr>
      <w:tblGrid>
        <w:gridCol w:w="1600"/>
        <w:gridCol w:w="1300"/>
        <w:gridCol w:w="6460"/>
      </w:tblGrid>
      <w:tr>
        <w:trPr>
          <w:tblHeader w:val="true"/>
          <w:cantSplit/>
        </w:trPr>
        <w:tc>
          <w:tcPr>
            <w:tcW w:type="dxa" w:w="1600"/>
            <w:shd w:fill="E8EEF5"/>
            <w:vAlign w:val="center"/>
            <w:tcMar>
              <w:top w:w="80" w:type="dxa"/>
              <w:start w:w="120" w:type="dxa"/>
              <w:bottom w:w="80" w:type="dxa"/>
              <w:end w:w="120" w:type="dxa"/>
            </w:tcMar>
          </w:tcPr>
          <w:p>
            <w:pPr>
              <w:spacing w:after="0"/>
            </w:pPr>
            <w:r>
              <w:rPr>
                <w:rFonts w:ascii="Aptos" w:hAnsi="Aptos" w:eastAsia="Aptos"/>
                <w:b/>
                <w:color w:val="0B2545"/>
                <w:sz w:val="18"/>
              </w:rPr>
              <w:t>Skill</w:t>
            </w:r>
          </w:p>
        </w:tc>
        <w:tc>
          <w:tcPr>
            <w:tcW w:type="dxa" w:w="1300"/>
            <w:shd w:fill="E8EEF5"/>
            <w:vAlign w:val="center"/>
            <w:tcMar>
              <w:top w:w="80" w:type="dxa"/>
              <w:start w:w="120" w:type="dxa"/>
              <w:bottom w:w="80" w:type="dxa"/>
              <w:end w:w="120" w:type="dxa"/>
            </w:tcMar>
          </w:tcPr>
          <w:p>
            <w:pPr>
              <w:spacing w:after="0"/>
            </w:pPr>
            <w:r>
              <w:rPr>
                <w:rFonts w:ascii="Aptos" w:hAnsi="Aptos" w:eastAsia="Aptos"/>
                <w:b/>
                <w:color w:val="0B2545"/>
                <w:sz w:val="18"/>
              </w:rPr>
              <w:t>Time</w:t>
            </w:r>
          </w:p>
        </w:tc>
        <w:tc>
          <w:tcPr>
            <w:tcW w:type="dxa" w:w="6460"/>
            <w:shd w:fill="E8EEF5"/>
            <w:vAlign w:val="center"/>
            <w:tcMar>
              <w:top w:w="80" w:type="dxa"/>
              <w:start w:w="120" w:type="dxa"/>
              <w:bottom w:w="80" w:type="dxa"/>
              <w:end w:w="120" w:type="dxa"/>
            </w:tcMar>
          </w:tcPr>
          <w:p>
            <w:pPr>
              <w:spacing w:after="0"/>
            </w:pPr>
            <w:r>
              <w:rPr>
                <w:rFonts w:ascii="Aptos" w:hAnsi="Aptos" w:eastAsia="Aptos"/>
                <w:b/>
                <w:color w:val="0B2545"/>
                <w:sz w:val="18"/>
              </w:rPr>
              <w:t>Task shape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Listening</w:t>
            </w:r>
          </w:p>
        </w:tc>
        <w:tc>
          <w:tcPr>
            <w:tcW w:type="dxa" w:w="1300"/>
            <w:vAlign w:val="top"/>
            <w:tcMar>
              <w:top w:w="80" w:type="dxa"/>
              <w:start w:w="120" w:type="dxa"/>
              <w:bottom w:w="80" w:type="dxa"/>
              <w:end w:w="120" w:type="dxa"/>
            </w:tcMar>
          </w:tcPr>
          <w:p>
            <w:pPr>
              <w:spacing w:after="0"/>
            </w:pPr>
            <w:r>
              <w:rPr>
                <w:rFonts w:ascii="Aptos" w:hAnsi="Aptos" w:eastAsia="Aptos"/>
                <w:sz w:val="18"/>
              </w:rPr>
              <w:t>15 min</w:t>
            </w:r>
          </w:p>
        </w:tc>
        <w:tc>
          <w:tcPr>
            <w:tcW w:type="dxa" w:w="6460"/>
            <w:vAlign w:val="top"/>
            <w:tcMar>
              <w:top w:w="80" w:type="dxa"/>
              <w:start w:w="120" w:type="dxa"/>
              <w:bottom w:w="80" w:type="dxa"/>
              <w:end w:w="120" w:type="dxa"/>
            </w:tcMar>
          </w:tcPr>
          <w:p>
            <w:pPr>
              <w:spacing w:after="0"/>
            </w:pPr>
            <w:r>
              <w:rPr>
                <w:rFonts w:ascii="Aptos" w:hAnsi="Aptos" w:eastAsia="Aptos"/>
                <w:sz w:val="18"/>
              </w:rPr>
              <w:t>Slow then near-natural familiar exchanges; tone/vowel discrimination</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Speaking</w:t>
            </w:r>
          </w:p>
        </w:tc>
        <w:tc>
          <w:tcPr>
            <w:tcW w:type="dxa" w:w="1300"/>
            <w:vAlign w:val="top"/>
            <w:tcMar>
              <w:top w:w="80" w:type="dxa"/>
              <w:start w:w="120" w:type="dxa"/>
              <w:bottom w:w="80" w:type="dxa"/>
              <w:end w:w="120" w:type="dxa"/>
            </w:tcMar>
          </w:tcPr>
          <w:p>
            <w:pPr>
              <w:spacing w:after="0"/>
            </w:pPr>
            <w:r>
              <w:rPr>
                <w:rFonts w:ascii="Aptos" w:hAnsi="Aptos" w:eastAsia="Aptos"/>
                <w:sz w:val="18"/>
              </w:rPr>
              <w:t>8-10 min</w:t>
            </w:r>
          </w:p>
        </w:tc>
        <w:tc>
          <w:tcPr>
            <w:tcW w:type="dxa" w:w="6460"/>
            <w:vAlign w:val="top"/>
            <w:tcMar>
              <w:top w:w="80" w:type="dxa"/>
              <w:start w:w="120" w:type="dxa"/>
              <w:bottom w:w="80" w:type="dxa"/>
              <w:end w:w="120" w:type="dxa"/>
            </w:tcMar>
          </w:tcPr>
          <w:p>
            <w:pPr>
              <w:spacing w:after="0"/>
            </w:pPr>
            <w:r>
              <w:rPr>
                <w:rFonts w:ascii="Aptos" w:hAnsi="Aptos" w:eastAsia="Aptos"/>
                <w:sz w:val="18"/>
              </w:rPr>
              <w:t>Greeting, identity, picture description, role-play, short repair</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Reading</w:t>
            </w:r>
          </w:p>
        </w:tc>
        <w:tc>
          <w:tcPr>
            <w:tcW w:type="dxa" w:w="1300"/>
            <w:vAlign w:val="top"/>
            <w:tcMar>
              <w:top w:w="80" w:type="dxa"/>
              <w:start w:w="120" w:type="dxa"/>
              <w:bottom w:w="80" w:type="dxa"/>
              <w:end w:w="120" w:type="dxa"/>
            </w:tcMar>
          </w:tcPr>
          <w:p>
            <w:pPr>
              <w:spacing w:after="0"/>
            </w:pPr>
            <w:r>
              <w:rPr>
                <w:rFonts w:ascii="Aptos" w:hAnsi="Aptos" w:eastAsia="Aptos"/>
                <w:sz w:val="18"/>
              </w:rPr>
              <w:t>20 min</w:t>
            </w:r>
          </w:p>
        </w:tc>
        <w:tc>
          <w:tcPr>
            <w:tcW w:type="dxa" w:w="6460"/>
            <w:vAlign w:val="top"/>
            <w:tcMar>
              <w:top w:w="80" w:type="dxa"/>
              <w:start w:w="120" w:type="dxa"/>
              <w:bottom w:w="80" w:type="dxa"/>
              <w:end w:w="120" w:type="dxa"/>
            </w:tcMar>
          </w:tcPr>
          <w:p>
            <w:pPr>
              <w:spacing w:after="0"/>
            </w:pPr>
            <w:r>
              <w:rPr>
                <w:rFonts w:ascii="Aptos" w:hAnsi="Aptos" w:eastAsia="Aptos"/>
                <w:sz w:val="18"/>
              </w:rPr>
              <w:t>Fully marked notices/dialogue/short paragraph</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Writing</w:t>
            </w:r>
          </w:p>
        </w:tc>
        <w:tc>
          <w:tcPr>
            <w:tcW w:type="dxa" w:w="1300"/>
            <w:vAlign w:val="top"/>
            <w:tcMar>
              <w:top w:w="80" w:type="dxa"/>
              <w:start w:w="120" w:type="dxa"/>
              <w:bottom w:w="80" w:type="dxa"/>
              <w:end w:w="120" w:type="dxa"/>
            </w:tcMar>
          </w:tcPr>
          <w:p>
            <w:pPr>
              <w:spacing w:after="0"/>
            </w:pPr>
            <w:r>
              <w:rPr>
                <w:rFonts w:ascii="Aptos" w:hAnsi="Aptos" w:eastAsia="Aptos"/>
                <w:sz w:val="18"/>
              </w:rPr>
              <w:t>25 min</w:t>
            </w:r>
          </w:p>
        </w:tc>
        <w:tc>
          <w:tcPr>
            <w:tcW w:type="dxa" w:w="6460"/>
            <w:vAlign w:val="top"/>
            <w:tcMar>
              <w:top w:w="80" w:type="dxa"/>
              <w:start w:w="120" w:type="dxa"/>
              <w:bottom w:w="80" w:type="dxa"/>
              <w:end w:w="120" w:type="dxa"/>
            </w:tcMar>
          </w:tcPr>
          <w:p>
            <w:pPr>
              <w:spacing w:after="0"/>
            </w:pPr>
            <w:r>
              <w:rPr>
                <w:rFonts w:ascii="Aptos" w:hAnsi="Aptos" w:eastAsia="Aptos"/>
                <w:sz w:val="18"/>
              </w:rPr>
              <w:t>40-80 marked words plus controlled sentence transformations</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Culture/register</w:t>
            </w:r>
          </w:p>
        </w:tc>
        <w:tc>
          <w:tcPr>
            <w:tcW w:type="dxa" w:w="1300"/>
            <w:vAlign w:val="top"/>
            <w:tcMar>
              <w:top w:w="80" w:type="dxa"/>
              <w:start w:w="120" w:type="dxa"/>
              <w:bottom w:w="80" w:type="dxa"/>
              <w:end w:w="120" w:type="dxa"/>
            </w:tcMar>
          </w:tcPr>
          <w:p>
            <w:pPr>
              <w:spacing w:after="0"/>
            </w:pPr>
            <w:r>
              <w:rPr>
                <w:rFonts w:ascii="Aptos" w:hAnsi="Aptos" w:eastAsia="Aptos"/>
                <w:sz w:val="18"/>
              </w:rPr>
              <w:t>10 min</w:t>
            </w:r>
          </w:p>
        </w:tc>
        <w:tc>
          <w:tcPr>
            <w:tcW w:type="dxa" w:w="6460"/>
            <w:vAlign w:val="top"/>
            <w:tcMar>
              <w:top w:w="80" w:type="dxa"/>
              <w:start w:w="120" w:type="dxa"/>
              <w:bottom w:w="80" w:type="dxa"/>
              <w:end w:w="120" w:type="dxa"/>
            </w:tcMar>
          </w:tcPr>
          <w:p>
            <w:pPr>
              <w:spacing w:after="0"/>
            </w:pPr>
            <w:r>
              <w:rPr>
                <w:rFonts w:ascii="Aptos" w:hAnsi="Aptos" w:eastAsia="Aptos"/>
                <w:sz w:val="18"/>
              </w:rPr>
              <w:t>Choose/explain greeting and honorific in scenarios</w:t>
            </w:r>
          </w:p>
        </w:tc>
      </w:tr>
    </w:tbl>
    <w:p>
      <w:r>
        <w:br w:type="page"/>
      </w:r>
    </w:p>
    <w:p>
      <w:pPr>
        <w:pStyle w:val="Heading1"/>
      </w:pPr>
      <w:r>
        <w:t>Part 4. Module 2: Intermediate I - Grammar, Transactions, and Cultural Integration</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E8EEF5"/>
          </w:tcPr>
          <w:p>
            <w:pPr>
              <w:spacing w:after="0"/>
            </w:pPr>
            <w:r>
              <w:rPr>
                <w:rFonts w:ascii="Aptos" w:hAnsi="Aptos" w:eastAsia="Aptos"/>
                <w:b/>
                <w:color w:val="0B2545"/>
              </w:rPr>
              <w:t xml:space="preserve">TARGET </w:t>
            </w:r>
            <w:r>
              <w:t>A2 to B1-oriented functional independence</w:t>
            </w:r>
          </w:p>
        </w:tc>
      </w:tr>
    </w:tbl>
    <w:p>
      <w:pPr>
        <w:spacing w:after="0"/>
      </w:pPr>
    </w:p>
    <w:p>
      <w:pPr>
        <w:spacing w:before="140" w:after="100"/>
        <w:jc w:val="center"/>
      </w:pPr>
      <w:r>
        <w:drawing>
          <wp:inline xmlns:a="http://schemas.openxmlformats.org/drawingml/2006/main" xmlns:pic="http://schemas.openxmlformats.org/drawingml/2006/picture">
            <wp:extent cx="5257800" cy="2957512"/>
            <wp:docPr id="4" name="Picture 4" descr="Editorial market scene with baskets and indigo textiles" title="Editorial market scene with baskets and indigo textiles"/>
            <wp:cNvGraphicFramePr>
              <a:graphicFrameLocks noChangeAspect="1"/>
            </wp:cNvGraphicFramePr>
            <a:graphic>
              <a:graphicData uri="http://schemas.openxmlformats.org/drawingml/2006/picture">
                <pic:pic>
                  <pic:nvPicPr>
                    <pic:cNvPr id="0" name="module-2-gemini-doc.jpg"/>
                    <pic:cNvPicPr/>
                  </pic:nvPicPr>
                  <pic:blipFill>
                    <a:blip r:embed="rId13"/>
                    <a:stretch>
                      <a:fillRect/>
                    </a:stretch>
                  </pic:blipFill>
                  <pic:spPr>
                    <a:xfrm>
                      <a:off x="0" y="0"/>
                      <a:ext cx="5257800" cy="2957512"/>
                    </a:xfrm>
                    <a:prstGeom prst="rect"/>
                  </pic:spPr>
                </pic:pic>
              </a:graphicData>
            </a:graphic>
          </wp:inline>
        </w:drawing>
      </w:r>
    </w:p>
    <w:p>
      <w:r>
        <w:t>Move from memorized exchanges to productive grammar, connected description, situational problem-solving, and informed participation in everyday cultural domains.</w:t>
      </w:r>
    </w:p>
    <w:p>
      <w:r>
        <w:rPr>
          <w:rFonts w:ascii="Aptos" w:hAnsi="Aptos" w:eastAsia="Aptos"/>
          <w:b/>
          <w:color w:val="1F4D78"/>
        </w:rPr>
        <w:t xml:space="preserve">Institutional alignment: </w:t>
      </w:r>
      <w:r>
        <w:t>OOU 200-level intermediate grammar/composition, morphology, culture/civilisation and oral/written literature; SOAS Beginners 2; UNILAG practical drills and basic culture domains.</w:t>
      </w:r>
    </w:p>
    <w:p>
      <w:pPr>
        <w:pStyle w:val="Heading2"/>
      </w:pPr>
      <w:r>
        <w:t>Exit outcomes</w:t>
      </w:r>
    </w:p>
    <w:p>
      <w:pPr>
        <w:pStyle w:val="ListBullet"/>
        <w:spacing w:after="80" w:line="300" w:lineRule="auto"/>
      </w:pPr>
      <w:r>
        <w:t>Classify and use major parts of speech in context rather than reciting definitions.</w:t>
      </w:r>
    </w:p>
    <w:p>
      <w:pPr>
        <w:pStyle w:val="ListBullet"/>
        <w:spacing w:after="80" w:line="300" w:lineRule="auto"/>
      </w:pPr>
      <w:r>
        <w:t>Handle bargaining, fares, directions, appointments, phone calls, work, school, health, and travel.</w:t>
      </w:r>
    </w:p>
    <w:p>
      <w:pPr>
        <w:pStyle w:val="ListBullet"/>
        <w:spacing w:after="80" w:line="300" w:lineRule="auto"/>
      </w:pPr>
      <w:r>
        <w:t>Use numerals and money accurately under time pressure with repair strategies.</w:t>
      </w:r>
    </w:p>
    <w:p>
      <w:pPr>
        <w:pStyle w:val="ListBullet"/>
        <w:spacing w:after="80" w:line="300" w:lineRule="auto"/>
      </w:pPr>
      <w:r>
        <w:t>Discuss food, clothing/textiles, music, entertainment, games, and everyday etiquette without reducing culture to vocabulary lists.</w:t>
      </w:r>
    </w:p>
    <w:p>
      <w:pPr>
        <w:pStyle w:val="ListBullet"/>
        <w:spacing w:after="80" w:line="300" w:lineRule="auto"/>
      </w:pPr>
      <w:r>
        <w:t>Produce connected 100-150-word marked writing and a 4-5-minute interaction.</w:t>
      </w:r>
    </w:p>
    <w:p>
      <w:pPr>
        <w:pStyle w:val="Heading2"/>
      </w:pPr>
      <w:r>
        <w:t>Unit sequence</w:t>
      </w:r>
    </w:p>
    <w:p>
      <w:pPr>
        <w:pStyle w:val="Heading3"/>
        <w:keepNext/>
      </w:pPr>
      <w:r>
        <w:t>Unit 9. Parts of speech through sentence building</w:t>
      </w:r>
    </w:p>
    <w:p>
      <w:r>
        <w:rPr>
          <w:rFonts w:ascii="Aptos" w:hAnsi="Aptos" w:eastAsia="Aptos"/>
          <w:b/>
          <w:color w:val="0B2545"/>
        </w:rPr>
        <w:t xml:space="preserve">Language and knowledge focus. </w:t>
      </w:r>
      <w:r>
        <w:t>nouns, pronouns, verbs, qualifiers, adverbs, conjunctions, ideophones/particles at an introductory level.</w:t>
      </w:r>
    </w:p>
    <w:p>
      <w:r>
        <w:rPr>
          <w:rFonts w:ascii="Aptos" w:hAnsi="Aptos" w:eastAsia="Aptos"/>
          <w:b/>
          <w:color w:val="0B2545"/>
        </w:rPr>
        <w:t xml:space="preserve">Studio / field practice. </w:t>
      </w:r>
      <w:r>
        <w:t>Color-code constituents in real sentences; rebuild scrambled clauses; compare English category traps.</w:t>
      </w:r>
    </w:p>
    <w:p>
      <w:r>
        <w:rPr>
          <w:rFonts w:ascii="Aptos" w:hAnsi="Aptos" w:eastAsia="Aptos"/>
          <w:b/>
          <w:color w:val="0B2545"/>
        </w:rPr>
        <w:t xml:space="preserve">Evidence. </w:t>
      </w:r>
      <w:r>
        <w:t>Grammar-in-context analysis.</w:t>
      </w:r>
    </w:p>
    <w:p>
      <w:pPr>
        <w:pStyle w:val="Heading3"/>
        <w:keepNext/>
      </w:pPr>
      <w:r>
        <w:t>Unit 10. Numerals, quantity, naira, and calculation</w:t>
      </w:r>
    </w:p>
    <w:p>
      <w:r>
        <w:rPr>
          <w:rFonts w:ascii="Aptos" w:hAnsi="Aptos" w:eastAsia="Aptos"/>
          <w:b/>
          <w:color w:val="0B2545"/>
        </w:rPr>
        <w:t xml:space="preserve">Language and knowledge focus. </w:t>
      </w:r>
      <w:r>
        <w:t>expanded Yorùbá numeral logic; amounts; quantity questions; approximation and clarification.</w:t>
      </w:r>
    </w:p>
    <w:p>
      <w:r>
        <w:rPr>
          <w:rFonts w:ascii="Aptos" w:hAnsi="Aptos" w:eastAsia="Aptos"/>
          <w:b/>
          <w:color w:val="0B2545"/>
        </w:rPr>
        <w:t xml:space="preserve">Studio / field practice. </w:t>
      </w:r>
      <w:r>
        <w:t>Market arithmetic, receipt checking, bargaining ladder, and number repair phrases.</w:t>
      </w:r>
    </w:p>
    <w:p>
      <w:r>
        <w:rPr>
          <w:rFonts w:ascii="Aptos" w:hAnsi="Aptos" w:eastAsia="Aptos"/>
          <w:b/>
          <w:color w:val="0B2545"/>
        </w:rPr>
        <w:t xml:space="preserve">Evidence. </w:t>
      </w:r>
      <w:r>
        <w:t>Listening-to-ledger task.</w:t>
      </w:r>
    </w:p>
    <w:p>
      <w:pPr>
        <w:pStyle w:val="Heading3"/>
        <w:keepNext/>
      </w:pPr>
      <w:r>
        <w:t>Unit 11. Bargaining and market discourse</w:t>
      </w:r>
    </w:p>
    <w:p>
      <w:r>
        <w:rPr>
          <w:rFonts w:ascii="Aptos" w:hAnsi="Aptos" w:eastAsia="Aptos"/>
          <w:b/>
          <w:color w:val="0B2545"/>
        </w:rPr>
        <w:t xml:space="preserve">Language and knowledge focus. </w:t>
      </w:r>
      <w:r>
        <w:t>polite requests; price/quantity; comparison; serial actions ra wá, mú lọ, gbé wá.</w:t>
      </w:r>
    </w:p>
    <w:p>
      <w:r>
        <w:rPr>
          <w:rFonts w:ascii="Aptos" w:hAnsi="Aptos" w:eastAsia="Aptos"/>
          <w:b/>
          <w:color w:val="0B2545"/>
        </w:rPr>
        <w:t xml:space="preserve">Studio / field practice. </w:t>
      </w:r>
      <w:r>
        <w:t>Buyer/seller role-play with target, ceiling, concession, and respectful closing.</w:t>
      </w:r>
    </w:p>
    <w:p>
      <w:r>
        <w:rPr>
          <w:rFonts w:ascii="Aptos" w:hAnsi="Aptos" w:eastAsia="Aptos"/>
          <w:b/>
          <w:color w:val="0B2545"/>
        </w:rPr>
        <w:t xml:space="preserve">Evidence. </w:t>
      </w:r>
      <w:r>
        <w:t>Near-natural transaction recording.</w:t>
      </w:r>
    </w:p>
    <w:p>
      <w:pPr>
        <w:pStyle w:val="Heading3"/>
        <w:keepNext/>
      </w:pPr>
      <w:r>
        <w:t>Unit 12. Transport, routes, and directions</w:t>
      </w:r>
    </w:p>
    <w:p>
      <w:r>
        <w:rPr>
          <w:rFonts w:ascii="Aptos" w:hAnsi="Aptos" w:eastAsia="Aptos"/>
          <w:b/>
          <w:color w:val="0B2545"/>
        </w:rPr>
        <w:t xml:space="preserve">Language and knowledge focus. </w:t>
      </w:r>
      <w:r>
        <w:t>location/direction expressions; route sequencing; fare payment; commands and responses.</w:t>
      </w:r>
    </w:p>
    <w:p>
      <w:r>
        <w:rPr>
          <w:rFonts w:ascii="Aptos" w:hAnsi="Aptos" w:eastAsia="Aptos"/>
          <w:b/>
          <w:color w:val="0B2545"/>
        </w:rPr>
        <w:t xml:space="preserve">Studio / field practice. </w:t>
      </w:r>
      <w:r>
        <w:t>Explain a route, ask where to alight, resolve a wrong stop, and describe road-crossing rules.</w:t>
      </w:r>
    </w:p>
    <w:p>
      <w:r>
        <w:rPr>
          <w:rFonts w:ascii="Aptos" w:hAnsi="Aptos" w:eastAsia="Aptos"/>
          <w:b/>
          <w:color w:val="0B2545"/>
        </w:rPr>
        <w:t xml:space="preserve">Evidence. </w:t>
      </w:r>
      <w:r>
        <w:t>Map task + transport dialogue.</w:t>
      </w:r>
    </w:p>
    <w:p>
      <w:pPr>
        <w:pStyle w:val="Heading3"/>
        <w:keepNext/>
      </w:pPr>
      <w:r>
        <w:t>Unit 13. Aspect, negation, questions, and reasons</w:t>
      </w:r>
    </w:p>
    <w:p>
      <w:r>
        <w:rPr>
          <w:rFonts w:ascii="Aptos" w:hAnsi="Aptos" w:eastAsia="Aptos"/>
          <w:b/>
          <w:color w:val="0B2545"/>
        </w:rPr>
        <w:t xml:space="preserve">Language and knowledge focus. </w:t>
      </w:r>
      <w:r>
        <w:t>habitual máa ń; negatives in level-appropriate frames; reasons with nítorí/nítorí pé; light relative tí.</w:t>
      </w:r>
    </w:p>
    <w:p>
      <w:r>
        <w:rPr>
          <w:rFonts w:ascii="Aptos" w:hAnsi="Aptos" w:eastAsia="Aptos"/>
          <w:b/>
          <w:color w:val="0B2545"/>
        </w:rPr>
        <w:t xml:space="preserve">Studio / field practice. </w:t>
      </w:r>
      <w:r>
        <w:t>Information-gap interviews and transformation drills.</w:t>
      </w:r>
    </w:p>
    <w:p>
      <w:r>
        <w:rPr>
          <w:rFonts w:ascii="Aptos" w:hAnsi="Aptos" w:eastAsia="Aptos"/>
          <w:b/>
          <w:color w:val="0B2545"/>
        </w:rPr>
        <w:t xml:space="preserve">Evidence. </w:t>
      </w:r>
      <w:r>
        <w:t>Controlled grammar quiz + spontaneous interview.</w:t>
      </w:r>
    </w:p>
    <w:p>
      <w:pPr>
        <w:pStyle w:val="Heading3"/>
        <w:keepNext/>
      </w:pPr>
      <w:r>
        <w:t>Unit 14. Foodways, recipes, hospitality, and health</w:t>
      </w:r>
    </w:p>
    <w:p>
      <w:r>
        <w:rPr>
          <w:rFonts w:ascii="Aptos" w:hAnsi="Aptos" w:eastAsia="Aptos"/>
          <w:b/>
          <w:color w:val="0B2545"/>
        </w:rPr>
        <w:t xml:space="preserve">Language and knowledge focus. </w:t>
      </w:r>
      <w:r>
        <w:t>ingredients, measures, sequence verbs, preferences, symptoms and basic care-seeking.</w:t>
      </w:r>
    </w:p>
    <w:p>
      <w:r>
        <w:rPr>
          <w:rFonts w:ascii="Aptos" w:hAnsi="Aptos" w:eastAsia="Aptos"/>
          <w:b/>
          <w:color w:val="0B2545"/>
        </w:rPr>
        <w:t xml:space="preserve">Studio / field practice. </w:t>
      </w:r>
      <w:r>
        <w:t>Follow/give a recipe; host/guest exchange; explain a simple health need.</w:t>
      </w:r>
    </w:p>
    <w:p>
      <w:r>
        <w:rPr>
          <w:rFonts w:ascii="Aptos" w:hAnsi="Aptos" w:eastAsia="Aptos"/>
          <w:b/>
          <w:color w:val="0B2545"/>
        </w:rPr>
        <w:t xml:space="preserve">Evidence. </w:t>
      </w:r>
      <w:r>
        <w:t>Procedure text + role-play.</w:t>
      </w:r>
    </w:p>
    <w:p>
      <w:pPr>
        <w:pStyle w:val="Heading3"/>
        <w:keepNext/>
      </w:pPr>
      <w:r>
        <w:t>Unit 15. Fashion, textiles, music, and performance</w:t>
      </w:r>
    </w:p>
    <w:p>
      <w:r>
        <w:rPr>
          <w:rFonts w:ascii="Aptos" w:hAnsi="Aptos" w:eastAsia="Aptos"/>
          <w:b/>
          <w:color w:val="0B2545"/>
        </w:rPr>
        <w:t xml:space="preserve">Language and knowledge focus. </w:t>
      </w:r>
      <w:r>
        <w:t>descriptive language; comparison; evaluative vocabulary; event planning.</w:t>
      </w:r>
    </w:p>
    <w:p>
      <w:r>
        <w:rPr>
          <w:rFonts w:ascii="Aptos" w:hAnsi="Aptos" w:eastAsia="Aptos"/>
          <w:b/>
          <w:color w:val="0B2545"/>
        </w:rPr>
        <w:t xml:space="preserve">Studio / field practice. </w:t>
      </w:r>
      <w:r>
        <w:t>Describe attire without stereotyping; analyze a song excerpt's accessible language; plan a cultural event.</w:t>
      </w:r>
    </w:p>
    <w:p>
      <w:r>
        <w:rPr>
          <w:rFonts w:ascii="Aptos" w:hAnsi="Aptos" w:eastAsia="Aptos"/>
          <w:b/>
          <w:color w:val="0B2545"/>
        </w:rPr>
        <w:t xml:space="preserve">Evidence. </w:t>
      </w:r>
      <w:r>
        <w:t>Oral presentation with source note.</w:t>
      </w:r>
    </w:p>
    <w:p>
      <w:pPr>
        <w:pStyle w:val="Heading3"/>
        <w:keepNext/>
      </w:pPr>
      <w:r>
        <w:t>Unit 16. Phone, SMS, work, school, and checkpoint</w:t>
      </w:r>
    </w:p>
    <w:p>
      <w:r>
        <w:rPr>
          <w:rFonts w:ascii="Aptos" w:hAnsi="Aptos" w:eastAsia="Aptos"/>
          <w:b/>
          <w:color w:val="0B2545"/>
        </w:rPr>
        <w:t xml:space="preserve">Language and knowledge focus. </w:t>
      </w:r>
      <w:r>
        <w:t>phone openings/closings, clarification, messages, schedules, professional etiquette.</w:t>
      </w:r>
    </w:p>
    <w:p>
      <w:r>
        <w:rPr>
          <w:rFonts w:ascii="Aptos" w:hAnsi="Aptos" w:eastAsia="Aptos"/>
          <w:b/>
          <w:color w:val="0B2545"/>
        </w:rPr>
        <w:t xml:space="preserve">Studio / field practice. </w:t>
      </w:r>
      <w:r>
        <w:t>Leave a voice note, rearrange a meeting, exchange an email/SMS, and explain a workday.</w:t>
      </w:r>
    </w:p>
    <w:p>
      <w:r>
        <w:rPr>
          <w:rFonts w:ascii="Aptos" w:hAnsi="Aptos" w:eastAsia="Aptos"/>
          <w:b/>
          <w:color w:val="0B2545"/>
        </w:rPr>
        <w:t xml:space="preserve">Evidence. </w:t>
      </w:r>
      <w:r>
        <w:t>Integrated Module 2 exam and portfolio moderation.</w:t>
      </w:r>
    </w:p>
    <w:p>
      <w:pPr>
        <w:pStyle w:val="Heading2"/>
      </w:pPr>
      <w:r>
        <w:t>Module teaching cycle</w:t>
      </w:r>
    </w:p>
    <w:p>
      <w:pPr>
        <w:numPr>
          <w:ilvl w:val="0"/>
          <w:numId w:val="12"/>
        </w:numPr>
        <w:spacing w:after="80" w:line="300" w:lineRule="auto"/>
      </w:pPr>
      <w:r>
        <w:t>Preview: one can-do goal, one sound/tone target, one grammar frame, and one cultural question.</w:t>
      </w:r>
    </w:p>
    <w:p>
      <w:pPr>
        <w:numPr>
          <w:ilvl w:val="0"/>
          <w:numId w:val="12"/>
        </w:numPr>
        <w:spacing w:after="80" w:line="300" w:lineRule="auto"/>
      </w:pPr>
      <w:r>
        <w:t>Input: marked text plus audio; first for meaning, second for form, third for shadowing.</w:t>
      </w:r>
    </w:p>
    <w:p>
      <w:pPr>
        <w:numPr>
          <w:ilvl w:val="0"/>
          <w:numId w:val="12"/>
        </w:numPr>
        <w:spacing w:after="80" w:line="300" w:lineRule="auto"/>
      </w:pPr>
      <w:r>
        <w:t>Notice: underline the grammatical frame and annotate every tone/underdot that carries a contrast.</w:t>
      </w:r>
    </w:p>
    <w:p>
      <w:pPr>
        <w:numPr>
          <w:ilvl w:val="0"/>
          <w:numId w:val="12"/>
        </w:numPr>
        <w:spacing w:after="80" w:line="300" w:lineRule="auto"/>
      </w:pPr>
      <w:r>
        <w:t>Drill: substitution, transformation, both-direction translation, tone discrimination, and timed retrieval.</w:t>
      </w:r>
    </w:p>
    <w:p>
      <w:pPr>
        <w:numPr>
          <w:ilvl w:val="0"/>
          <w:numId w:val="12"/>
        </w:numPr>
        <w:spacing w:after="80" w:line="300" w:lineRule="auto"/>
      </w:pPr>
      <w:r>
        <w:t>Interaction: classroom-slow rehearsal, near-natural role-play, then a phone/voice-note version.</w:t>
      </w:r>
    </w:p>
    <w:p>
      <w:pPr>
        <w:numPr>
          <w:ilvl w:val="0"/>
          <w:numId w:val="12"/>
        </w:numPr>
        <w:spacing w:after="80" w:line="300" w:lineRule="auto"/>
      </w:pPr>
      <w:r>
        <w:t>Create: speaking and writing task with fully marked learner text where required by the module.</w:t>
      </w:r>
    </w:p>
    <w:p>
      <w:pPr>
        <w:numPr>
          <w:ilvl w:val="0"/>
          <w:numId w:val="12"/>
        </w:numPr>
        <w:spacing w:after="80" w:line="300" w:lineRule="auto"/>
      </w:pPr>
      <w:r>
        <w:t>Reflect: update error log; re-record/rewrite; schedule failed items for spaced review.</w:t>
      </w:r>
    </w:p>
    <w:p>
      <w:pPr>
        <w:pStyle w:val="Heading2"/>
      </w:pPr>
      <w:r>
        <w:t>Situational simulation protocol</w:t>
      </w:r>
    </w:p>
    <w:tbl>
      <w:tblPr>
        <w:tblStyle w:val="TableGrid"/>
        <w:tblW w:type="dxa" w:w="9360"/>
        <w:jc w:val="left"/>
        <w:tblLayout w:type="fixed"/>
        <w:tblLook w:firstColumn="1" w:firstRow="1" w:lastColumn="0" w:lastRow="0" w:noHBand="0" w:noVBand="1" w:val="04A0"/>
        <w:tblInd w:w="120" w:type="dxa"/>
      </w:tblPr>
      <w:tblGrid>
        <w:gridCol w:w="1600"/>
        <w:gridCol w:w="3270"/>
        <w:gridCol w:w="2300"/>
        <w:gridCol w:w="2190"/>
      </w:tblGrid>
      <w:tr>
        <w:trPr>
          <w:tblHeader w:val="true"/>
          <w:cantSplit/>
        </w:trPr>
        <w:tc>
          <w:tcPr>
            <w:tcW w:type="dxa" w:w="1600"/>
            <w:shd w:fill="E8EEF5"/>
            <w:vAlign w:val="center"/>
            <w:tcMar>
              <w:top w:w="80" w:type="dxa"/>
              <w:start w:w="120" w:type="dxa"/>
              <w:bottom w:w="80" w:type="dxa"/>
              <w:end w:w="120" w:type="dxa"/>
            </w:tcMar>
          </w:tcPr>
          <w:p>
            <w:pPr>
              <w:spacing w:after="0"/>
            </w:pPr>
            <w:r>
              <w:rPr>
                <w:rFonts w:ascii="Aptos" w:hAnsi="Aptos" w:eastAsia="Aptos"/>
                <w:b/>
                <w:color w:val="0B2545"/>
                <w:sz w:val="17"/>
              </w:rPr>
              <w:t>Simulation</w:t>
            </w:r>
          </w:p>
        </w:tc>
        <w:tc>
          <w:tcPr>
            <w:tcW w:type="dxa" w:w="3270"/>
            <w:shd w:fill="E8EEF5"/>
            <w:vAlign w:val="center"/>
            <w:tcMar>
              <w:top w:w="80" w:type="dxa"/>
              <w:start w:w="120" w:type="dxa"/>
              <w:bottom w:w="80" w:type="dxa"/>
              <w:end w:w="120" w:type="dxa"/>
            </w:tcMar>
          </w:tcPr>
          <w:p>
            <w:pPr>
              <w:spacing w:after="0"/>
            </w:pPr>
            <w:r>
              <w:rPr>
                <w:rFonts w:ascii="Aptos" w:hAnsi="Aptos" w:eastAsia="Aptos"/>
                <w:b/>
                <w:color w:val="0B2545"/>
                <w:sz w:val="17"/>
              </w:rPr>
              <w:t>Required moves</w:t>
            </w:r>
          </w:p>
        </w:tc>
        <w:tc>
          <w:tcPr>
            <w:tcW w:type="dxa" w:w="2300"/>
            <w:shd w:fill="E8EEF5"/>
            <w:vAlign w:val="center"/>
            <w:tcMar>
              <w:top w:w="80" w:type="dxa"/>
              <w:start w:w="120" w:type="dxa"/>
              <w:bottom w:w="80" w:type="dxa"/>
              <w:end w:w="120" w:type="dxa"/>
            </w:tcMar>
          </w:tcPr>
          <w:p>
            <w:pPr>
              <w:spacing w:after="0"/>
            </w:pPr>
            <w:r>
              <w:rPr>
                <w:rFonts w:ascii="Aptos" w:hAnsi="Aptos" w:eastAsia="Aptos"/>
                <w:b/>
                <w:color w:val="0B2545"/>
                <w:sz w:val="17"/>
              </w:rPr>
              <w:t>Language evidence</w:t>
            </w:r>
          </w:p>
        </w:tc>
        <w:tc>
          <w:tcPr>
            <w:tcW w:type="dxa" w:w="2190"/>
            <w:shd w:fill="E8EEF5"/>
            <w:vAlign w:val="center"/>
            <w:tcMar>
              <w:top w:w="80" w:type="dxa"/>
              <w:start w:w="120" w:type="dxa"/>
              <w:bottom w:w="80" w:type="dxa"/>
              <w:end w:w="120" w:type="dxa"/>
            </w:tcMar>
          </w:tcPr>
          <w:p>
            <w:pPr>
              <w:spacing w:after="0"/>
            </w:pPr>
            <w:r>
              <w:rPr>
                <w:rFonts w:ascii="Aptos" w:hAnsi="Aptos" w:eastAsia="Aptos"/>
                <w:b/>
                <w:color w:val="0B2545"/>
                <w:sz w:val="17"/>
              </w:rPr>
              <w:t>Cultural evidence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7"/>
              </w:rPr>
              <w:t>Bargaining</w:t>
            </w:r>
          </w:p>
        </w:tc>
        <w:tc>
          <w:tcPr>
            <w:tcW w:type="dxa" w:w="3270"/>
            <w:vAlign w:val="top"/>
            <w:tcMar>
              <w:top w:w="80" w:type="dxa"/>
              <w:start w:w="120" w:type="dxa"/>
              <w:bottom w:w="80" w:type="dxa"/>
              <w:end w:w="120" w:type="dxa"/>
            </w:tcMar>
          </w:tcPr>
          <w:p>
            <w:pPr>
              <w:spacing w:after="0"/>
            </w:pPr>
            <w:r>
              <w:rPr>
                <w:rFonts w:ascii="Aptos" w:hAnsi="Aptos" w:eastAsia="Aptos"/>
                <w:sz w:val="17"/>
              </w:rPr>
              <w:t>greet; identify item; ask price; respond; negotiate; confirm quantity; close</w:t>
            </w:r>
          </w:p>
        </w:tc>
        <w:tc>
          <w:tcPr>
            <w:tcW w:type="dxa" w:w="2300"/>
            <w:vAlign w:val="top"/>
            <w:tcMar>
              <w:top w:w="80" w:type="dxa"/>
              <w:start w:w="120" w:type="dxa"/>
              <w:bottom w:w="80" w:type="dxa"/>
              <w:end w:w="120" w:type="dxa"/>
            </w:tcMar>
          </w:tcPr>
          <w:p>
            <w:pPr>
              <w:spacing w:after="0"/>
            </w:pPr>
            <w:r>
              <w:rPr>
                <w:rFonts w:ascii="Aptos" w:hAnsi="Aptos" w:eastAsia="Aptos"/>
                <w:sz w:val="17"/>
              </w:rPr>
              <w:t>numbers, questions, comparison, request, serial action</w:t>
            </w:r>
          </w:p>
        </w:tc>
        <w:tc>
          <w:tcPr>
            <w:tcW w:type="dxa" w:w="2190"/>
            <w:vAlign w:val="top"/>
            <w:tcMar>
              <w:top w:w="80" w:type="dxa"/>
              <w:start w:w="120" w:type="dxa"/>
              <w:bottom w:w="80" w:type="dxa"/>
              <w:end w:w="120" w:type="dxa"/>
            </w:tcMar>
          </w:tcPr>
          <w:p>
            <w:pPr>
              <w:spacing w:after="0"/>
            </w:pPr>
            <w:r>
              <w:rPr>
                <w:rFonts w:ascii="Aptos" w:hAnsi="Aptos" w:eastAsia="Aptos"/>
                <w:sz w:val="17"/>
              </w:rPr>
              <w:t>respectful entry and non-caricatured market interaction</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7"/>
              </w:rPr>
              <w:t>Transport</w:t>
            </w:r>
          </w:p>
        </w:tc>
        <w:tc>
          <w:tcPr>
            <w:tcW w:type="dxa" w:w="3270"/>
            <w:vAlign w:val="top"/>
            <w:tcMar>
              <w:top w:w="80" w:type="dxa"/>
              <w:start w:w="120" w:type="dxa"/>
              <w:bottom w:w="80" w:type="dxa"/>
              <w:end w:w="120" w:type="dxa"/>
            </w:tcMar>
          </w:tcPr>
          <w:p>
            <w:pPr>
              <w:spacing w:after="0"/>
            </w:pPr>
            <w:r>
              <w:rPr>
                <w:rFonts w:ascii="Aptos" w:hAnsi="Aptos" w:eastAsia="Aptos"/>
                <w:sz w:val="17"/>
              </w:rPr>
              <w:t>ask destination/fare; clarify route; pay; ask to stop; repair misunderstanding</w:t>
            </w:r>
          </w:p>
        </w:tc>
        <w:tc>
          <w:tcPr>
            <w:tcW w:type="dxa" w:w="2300"/>
            <w:vAlign w:val="top"/>
            <w:tcMar>
              <w:top w:w="80" w:type="dxa"/>
              <w:start w:w="120" w:type="dxa"/>
              <w:bottom w:w="80" w:type="dxa"/>
              <w:end w:w="120" w:type="dxa"/>
            </w:tcMar>
          </w:tcPr>
          <w:p>
            <w:pPr>
              <w:spacing w:after="0"/>
            </w:pPr>
            <w:r>
              <w:rPr>
                <w:rFonts w:ascii="Aptos" w:hAnsi="Aptos" w:eastAsia="Aptos"/>
                <w:sz w:val="17"/>
              </w:rPr>
              <w:t>directions, amounts, commands/responses, sequence</w:t>
            </w:r>
          </w:p>
        </w:tc>
        <w:tc>
          <w:tcPr>
            <w:tcW w:type="dxa" w:w="2190"/>
            <w:vAlign w:val="top"/>
            <w:tcMar>
              <w:top w:w="80" w:type="dxa"/>
              <w:start w:w="120" w:type="dxa"/>
              <w:bottom w:w="80" w:type="dxa"/>
              <w:end w:w="120" w:type="dxa"/>
            </w:tcMar>
          </w:tcPr>
          <w:p>
            <w:pPr>
              <w:spacing w:after="0"/>
            </w:pPr>
            <w:r>
              <w:rPr>
                <w:rFonts w:ascii="Aptos" w:hAnsi="Aptos" w:eastAsia="Aptos"/>
                <w:sz w:val="17"/>
              </w:rPr>
              <w:t>appropriate address to driver/conductor/passenger</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7"/>
              </w:rPr>
              <w:t>Hospital/health</w:t>
            </w:r>
          </w:p>
        </w:tc>
        <w:tc>
          <w:tcPr>
            <w:tcW w:type="dxa" w:w="3270"/>
            <w:vAlign w:val="top"/>
            <w:tcMar>
              <w:top w:w="80" w:type="dxa"/>
              <w:start w:w="120" w:type="dxa"/>
              <w:bottom w:w="80" w:type="dxa"/>
              <w:end w:w="120" w:type="dxa"/>
            </w:tcMar>
          </w:tcPr>
          <w:p>
            <w:pPr>
              <w:spacing w:after="0"/>
            </w:pPr>
            <w:r>
              <w:rPr>
                <w:rFonts w:ascii="Aptos" w:hAnsi="Aptos" w:eastAsia="Aptos"/>
                <w:sz w:val="17"/>
              </w:rPr>
              <w:t>state symptom; duration; relevant need; follow basic directions</w:t>
            </w:r>
          </w:p>
        </w:tc>
        <w:tc>
          <w:tcPr>
            <w:tcW w:type="dxa" w:w="2300"/>
            <w:vAlign w:val="top"/>
            <w:tcMar>
              <w:top w:w="80" w:type="dxa"/>
              <w:start w:w="120" w:type="dxa"/>
              <w:bottom w:w="80" w:type="dxa"/>
              <w:end w:w="120" w:type="dxa"/>
            </w:tcMar>
          </w:tcPr>
          <w:p>
            <w:pPr>
              <w:spacing w:after="0"/>
            </w:pPr>
            <w:r>
              <w:rPr>
                <w:rFonts w:ascii="Aptos" w:hAnsi="Aptos" w:eastAsia="Aptos"/>
                <w:sz w:val="17"/>
              </w:rPr>
              <w:t>body, time, negation, reason, clarification</w:t>
            </w:r>
          </w:p>
        </w:tc>
        <w:tc>
          <w:tcPr>
            <w:tcW w:type="dxa" w:w="2190"/>
            <w:vAlign w:val="top"/>
            <w:tcMar>
              <w:top w:w="80" w:type="dxa"/>
              <w:start w:w="120" w:type="dxa"/>
              <w:bottom w:w="80" w:type="dxa"/>
              <w:end w:w="120" w:type="dxa"/>
            </w:tcMar>
          </w:tcPr>
          <w:p>
            <w:pPr>
              <w:spacing w:after="0"/>
            </w:pPr>
            <w:r>
              <w:rPr>
                <w:rFonts w:ascii="Aptos" w:hAnsi="Aptos" w:eastAsia="Aptos"/>
                <w:sz w:val="17"/>
              </w:rPr>
              <w:t>language practice only; no unsupported medical guidance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7"/>
              </w:rPr>
              <w:t>Phone/work</w:t>
            </w:r>
          </w:p>
        </w:tc>
        <w:tc>
          <w:tcPr>
            <w:tcW w:type="dxa" w:w="3270"/>
            <w:vAlign w:val="top"/>
            <w:tcMar>
              <w:top w:w="80" w:type="dxa"/>
              <w:start w:w="120" w:type="dxa"/>
              <w:bottom w:w="80" w:type="dxa"/>
              <w:end w:w="120" w:type="dxa"/>
            </w:tcMar>
          </w:tcPr>
          <w:p>
            <w:pPr>
              <w:spacing w:after="0"/>
            </w:pPr>
            <w:r>
              <w:rPr>
                <w:rFonts w:ascii="Aptos" w:hAnsi="Aptos" w:eastAsia="Aptos"/>
                <w:sz w:val="17"/>
              </w:rPr>
              <w:t>open; identify; state purpose; negotiate time; confirm; close</w:t>
            </w:r>
          </w:p>
        </w:tc>
        <w:tc>
          <w:tcPr>
            <w:tcW w:type="dxa" w:w="2300"/>
            <w:vAlign w:val="top"/>
            <w:tcMar>
              <w:top w:w="80" w:type="dxa"/>
              <w:start w:w="120" w:type="dxa"/>
              <w:bottom w:w="80" w:type="dxa"/>
              <w:end w:w="120" w:type="dxa"/>
            </w:tcMar>
          </w:tcPr>
          <w:p>
            <w:pPr>
              <w:spacing w:after="0"/>
            </w:pPr>
            <w:r>
              <w:rPr>
                <w:rFonts w:ascii="Aptos" w:hAnsi="Aptos" w:eastAsia="Aptos"/>
                <w:sz w:val="17"/>
              </w:rPr>
              <w:t>phone register, schedules, future/plans</w:t>
            </w:r>
          </w:p>
        </w:tc>
        <w:tc>
          <w:tcPr>
            <w:tcW w:type="dxa" w:w="2190"/>
            <w:vAlign w:val="top"/>
            <w:tcMar>
              <w:top w:w="80" w:type="dxa"/>
              <w:start w:w="120" w:type="dxa"/>
              <w:bottom w:w="80" w:type="dxa"/>
              <w:end w:w="120" w:type="dxa"/>
            </w:tcMar>
          </w:tcPr>
          <w:p>
            <w:pPr>
              <w:spacing w:after="0"/>
            </w:pPr>
            <w:r>
              <w:rPr>
                <w:rFonts w:ascii="Aptos" w:hAnsi="Aptos" w:eastAsia="Aptos"/>
                <w:sz w:val="17"/>
              </w:rPr>
              <w:t>respect and professional clarity</w:t>
            </w:r>
          </w:p>
        </w:tc>
      </w:tr>
    </w:tbl>
    <w:p>
      <w:pPr>
        <w:pStyle w:val="Heading2"/>
      </w:pPr>
      <w:r>
        <w:t>Module checkpoint blueprint</w:t>
      </w:r>
    </w:p>
    <w:tbl>
      <w:tblPr>
        <w:tblStyle w:val="TableGrid"/>
        <w:tblW w:type="dxa" w:w="9360"/>
        <w:jc w:val="left"/>
        <w:tblLayout w:type="fixed"/>
        <w:tblLook w:firstColumn="1" w:firstRow="1" w:lastColumn="0" w:lastRow="0" w:noHBand="0" w:noVBand="1" w:val="04A0"/>
        <w:tblInd w:w="120" w:type="dxa"/>
      </w:tblPr>
      <w:tblGrid>
        <w:gridCol w:w="1600"/>
        <w:gridCol w:w="1300"/>
        <w:gridCol w:w="6460"/>
      </w:tblGrid>
      <w:tr>
        <w:trPr>
          <w:tblHeader w:val="true"/>
          <w:cantSplit/>
        </w:trPr>
        <w:tc>
          <w:tcPr>
            <w:tcW w:type="dxa" w:w="1600"/>
            <w:shd w:fill="E8EEF5"/>
            <w:vAlign w:val="center"/>
            <w:tcMar>
              <w:top w:w="80" w:type="dxa"/>
              <w:start w:w="120" w:type="dxa"/>
              <w:bottom w:w="80" w:type="dxa"/>
              <w:end w:w="120" w:type="dxa"/>
            </w:tcMar>
          </w:tcPr>
          <w:p>
            <w:pPr>
              <w:spacing w:after="0"/>
            </w:pPr>
            <w:r>
              <w:rPr>
                <w:rFonts w:ascii="Aptos" w:hAnsi="Aptos" w:eastAsia="Aptos"/>
                <w:b/>
                <w:color w:val="0B2545"/>
                <w:sz w:val="18"/>
              </w:rPr>
              <w:t>Skill</w:t>
            </w:r>
          </w:p>
        </w:tc>
        <w:tc>
          <w:tcPr>
            <w:tcW w:type="dxa" w:w="1300"/>
            <w:shd w:fill="E8EEF5"/>
            <w:vAlign w:val="center"/>
            <w:tcMar>
              <w:top w:w="80" w:type="dxa"/>
              <w:start w:w="120" w:type="dxa"/>
              <w:bottom w:w="80" w:type="dxa"/>
              <w:end w:w="120" w:type="dxa"/>
            </w:tcMar>
          </w:tcPr>
          <w:p>
            <w:pPr>
              <w:spacing w:after="0"/>
            </w:pPr>
            <w:r>
              <w:rPr>
                <w:rFonts w:ascii="Aptos" w:hAnsi="Aptos" w:eastAsia="Aptos"/>
                <w:b/>
                <w:color w:val="0B2545"/>
                <w:sz w:val="18"/>
              </w:rPr>
              <w:t>Time</w:t>
            </w:r>
          </w:p>
        </w:tc>
        <w:tc>
          <w:tcPr>
            <w:tcW w:type="dxa" w:w="6460"/>
            <w:shd w:fill="E8EEF5"/>
            <w:vAlign w:val="center"/>
            <w:tcMar>
              <w:top w:w="80" w:type="dxa"/>
              <w:start w:w="120" w:type="dxa"/>
              <w:bottom w:w="80" w:type="dxa"/>
              <w:end w:w="120" w:type="dxa"/>
            </w:tcMar>
          </w:tcPr>
          <w:p>
            <w:pPr>
              <w:spacing w:after="0"/>
            </w:pPr>
            <w:r>
              <w:rPr>
                <w:rFonts w:ascii="Aptos" w:hAnsi="Aptos" w:eastAsia="Aptos"/>
                <w:b/>
                <w:color w:val="0B2545"/>
                <w:sz w:val="18"/>
              </w:rPr>
              <w:t>Task shape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Listening</w:t>
            </w:r>
          </w:p>
        </w:tc>
        <w:tc>
          <w:tcPr>
            <w:tcW w:type="dxa" w:w="1300"/>
            <w:vAlign w:val="top"/>
            <w:tcMar>
              <w:top w:w="80" w:type="dxa"/>
              <w:start w:w="120" w:type="dxa"/>
              <w:bottom w:w="80" w:type="dxa"/>
              <w:end w:w="120" w:type="dxa"/>
            </w:tcMar>
          </w:tcPr>
          <w:p>
            <w:pPr>
              <w:spacing w:after="0"/>
            </w:pPr>
            <w:r>
              <w:rPr>
                <w:rFonts w:ascii="Aptos" w:hAnsi="Aptos" w:eastAsia="Aptos"/>
                <w:sz w:val="18"/>
              </w:rPr>
              <w:t>20 min</w:t>
            </w:r>
          </w:p>
        </w:tc>
        <w:tc>
          <w:tcPr>
            <w:tcW w:type="dxa" w:w="6460"/>
            <w:vAlign w:val="top"/>
            <w:tcMar>
              <w:top w:w="80" w:type="dxa"/>
              <w:start w:w="120" w:type="dxa"/>
              <w:bottom w:w="80" w:type="dxa"/>
              <w:end w:w="120" w:type="dxa"/>
            </w:tcMar>
          </w:tcPr>
          <w:p>
            <w:pPr>
              <w:spacing w:after="0"/>
            </w:pPr>
            <w:r>
              <w:rPr>
                <w:rFonts w:ascii="Aptos" w:hAnsi="Aptos" w:eastAsia="Aptos"/>
                <w:sz w:val="18"/>
              </w:rPr>
              <w:t>Transactions, directions, phone message, number/amount transfer</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Speaking</w:t>
            </w:r>
          </w:p>
        </w:tc>
        <w:tc>
          <w:tcPr>
            <w:tcW w:type="dxa" w:w="1300"/>
            <w:vAlign w:val="top"/>
            <w:tcMar>
              <w:top w:w="80" w:type="dxa"/>
              <w:start w:w="120" w:type="dxa"/>
              <w:bottom w:w="80" w:type="dxa"/>
              <w:end w:w="120" w:type="dxa"/>
            </w:tcMar>
          </w:tcPr>
          <w:p>
            <w:pPr>
              <w:spacing w:after="0"/>
            </w:pPr>
            <w:r>
              <w:rPr>
                <w:rFonts w:ascii="Aptos" w:hAnsi="Aptos" w:eastAsia="Aptos"/>
                <w:sz w:val="18"/>
              </w:rPr>
              <w:t>12-15 min</w:t>
            </w:r>
          </w:p>
        </w:tc>
        <w:tc>
          <w:tcPr>
            <w:tcW w:type="dxa" w:w="6460"/>
            <w:vAlign w:val="top"/>
            <w:tcMar>
              <w:top w:w="80" w:type="dxa"/>
              <w:start w:w="120" w:type="dxa"/>
              <w:bottom w:w="80" w:type="dxa"/>
              <w:end w:w="120" w:type="dxa"/>
            </w:tcMar>
          </w:tcPr>
          <w:p>
            <w:pPr>
              <w:spacing w:after="0"/>
            </w:pPr>
            <w:r>
              <w:rPr>
                <w:rFonts w:ascii="Aptos" w:hAnsi="Aptos" w:eastAsia="Aptos"/>
                <w:sz w:val="18"/>
              </w:rPr>
              <w:t>Bargaining, transport problem, connected description</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Reading</w:t>
            </w:r>
          </w:p>
        </w:tc>
        <w:tc>
          <w:tcPr>
            <w:tcW w:type="dxa" w:w="1300"/>
            <w:vAlign w:val="top"/>
            <w:tcMar>
              <w:top w:w="80" w:type="dxa"/>
              <w:start w:w="120" w:type="dxa"/>
              <w:bottom w:w="80" w:type="dxa"/>
              <w:end w:w="120" w:type="dxa"/>
            </w:tcMar>
          </w:tcPr>
          <w:p>
            <w:pPr>
              <w:spacing w:after="0"/>
            </w:pPr>
            <w:r>
              <w:rPr>
                <w:rFonts w:ascii="Aptos" w:hAnsi="Aptos" w:eastAsia="Aptos"/>
                <w:sz w:val="18"/>
              </w:rPr>
              <w:t>30 min</w:t>
            </w:r>
          </w:p>
        </w:tc>
        <w:tc>
          <w:tcPr>
            <w:tcW w:type="dxa" w:w="6460"/>
            <w:vAlign w:val="top"/>
            <w:tcMar>
              <w:top w:w="80" w:type="dxa"/>
              <w:start w:w="120" w:type="dxa"/>
              <w:bottom w:w="80" w:type="dxa"/>
              <w:end w:w="120" w:type="dxa"/>
            </w:tcMar>
          </w:tcPr>
          <w:p>
            <w:pPr>
              <w:spacing w:after="0"/>
            </w:pPr>
            <w:r>
              <w:rPr>
                <w:rFonts w:ascii="Aptos" w:hAnsi="Aptos" w:eastAsia="Aptos"/>
                <w:sz w:val="18"/>
              </w:rPr>
              <w:t>Messages, instructions, short cultural/media text</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Writing</w:t>
            </w:r>
          </w:p>
        </w:tc>
        <w:tc>
          <w:tcPr>
            <w:tcW w:type="dxa" w:w="1300"/>
            <w:vAlign w:val="top"/>
            <w:tcMar>
              <w:top w:w="80" w:type="dxa"/>
              <w:start w:w="120" w:type="dxa"/>
              <w:bottom w:w="80" w:type="dxa"/>
              <w:end w:w="120" w:type="dxa"/>
            </w:tcMar>
          </w:tcPr>
          <w:p>
            <w:pPr>
              <w:spacing w:after="0"/>
            </w:pPr>
            <w:r>
              <w:rPr>
                <w:rFonts w:ascii="Aptos" w:hAnsi="Aptos" w:eastAsia="Aptos"/>
                <w:sz w:val="18"/>
              </w:rPr>
              <w:t>35 min</w:t>
            </w:r>
          </w:p>
        </w:tc>
        <w:tc>
          <w:tcPr>
            <w:tcW w:type="dxa" w:w="6460"/>
            <w:vAlign w:val="top"/>
            <w:tcMar>
              <w:top w:w="80" w:type="dxa"/>
              <w:start w:w="120" w:type="dxa"/>
              <w:bottom w:w="80" w:type="dxa"/>
              <w:end w:w="120" w:type="dxa"/>
            </w:tcMar>
          </w:tcPr>
          <w:p>
            <w:pPr>
              <w:spacing w:after="0"/>
            </w:pPr>
            <w:r>
              <w:rPr>
                <w:rFonts w:ascii="Aptos" w:hAnsi="Aptos" w:eastAsia="Aptos"/>
                <w:sz w:val="18"/>
              </w:rPr>
              <w:t>100-150 marked words: narrative/procedure/email</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Culture/register</w:t>
            </w:r>
          </w:p>
        </w:tc>
        <w:tc>
          <w:tcPr>
            <w:tcW w:type="dxa" w:w="1300"/>
            <w:vAlign w:val="top"/>
            <w:tcMar>
              <w:top w:w="80" w:type="dxa"/>
              <w:start w:w="120" w:type="dxa"/>
              <w:bottom w:w="80" w:type="dxa"/>
              <w:end w:w="120" w:type="dxa"/>
            </w:tcMar>
          </w:tcPr>
          <w:p>
            <w:pPr>
              <w:spacing w:after="0"/>
            </w:pPr>
            <w:r>
              <w:rPr>
                <w:rFonts w:ascii="Aptos" w:hAnsi="Aptos" w:eastAsia="Aptos"/>
                <w:sz w:val="18"/>
              </w:rPr>
              <w:t>15 min</w:t>
            </w:r>
          </w:p>
        </w:tc>
        <w:tc>
          <w:tcPr>
            <w:tcW w:type="dxa" w:w="6460"/>
            <w:vAlign w:val="top"/>
            <w:tcMar>
              <w:top w:w="80" w:type="dxa"/>
              <w:start w:w="120" w:type="dxa"/>
              <w:bottom w:w="80" w:type="dxa"/>
              <w:end w:w="120" w:type="dxa"/>
            </w:tcMar>
          </w:tcPr>
          <w:p>
            <w:pPr>
              <w:spacing w:after="0"/>
            </w:pPr>
            <w:r>
              <w:rPr>
                <w:rFonts w:ascii="Aptos" w:hAnsi="Aptos" w:eastAsia="Aptos"/>
                <w:sz w:val="18"/>
              </w:rPr>
              <w:t>Evidence-based interpretation of a situational choice</w:t>
            </w:r>
          </w:p>
        </w:tc>
      </w:tr>
    </w:tbl>
    <w:p>
      <w:r>
        <w:br w:type="page"/>
      </w:r>
    </w:p>
    <w:p>
      <w:pPr>
        <w:pStyle w:val="Heading1"/>
      </w:pPr>
      <w:r>
        <w:t>Part 5. Module 3: Intermediate II - Literacy, Oral Arts, and Media</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E8EEF5"/>
          </w:tcPr>
          <w:p>
            <w:pPr>
              <w:spacing w:after="0"/>
            </w:pPr>
            <w:r>
              <w:rPr>
                <w:rFonts w:ascii="Aptos" w:hAnsi="Aptos" w:eastAsia="Aptos"/>
                <w:b/>
                <w:color w:val="0B2545"/>
              </w:rPr>
              <w:t xml:space="preserve">TARGET </w:t>
            </w:r>
            <w:r>
              <w:t>B1 to B2-oriented literacy and interpretive independence</w:t>
            </w:r>
          </w:p>
        </w:tc>
      </w:tr>
    </w:tbl>
    <w:p>
      <w:pPr>
        <w:spacing w:after="0"/>
      </w:pPr>
    </w:p>
    <w:p>
      <w:pPr>
        <w:spacing w:before="140" w:after="100"/>
        <w:jc w:val="center"/>
      </w:pPr>
      <w:r>
        <w:drawing>
          <wp:inline xmlns:a="http://schemas.openxmlformats.org/drawingml/2006/main" xmlns:pic="http://schemas.openxmlformats.org/drawingml/2006/picture">
            <wp:extent cx="5257800" cy="2957512"/>
            <wp:docPr id="5" name="Picture 5" descr="Open book and microphone in an indigo literary and media study setting" title="Open book and microphone in an indigo literary and media study setting"/>
            <wp:cNvGraphicFramePr>
              <a:graphicFrameLocks noChangeAspect="1"/>
            </wp:cNvGraphicFramePr>
            <a:graphic>
              <a:graphicData uri="http://schemas.openxmlformats.org/drawingml/2006/picture">
                <pic:pic>
                  <pic:nvPicPr>
                    <pic:cNvPr id="0" name="module-3-gemini-doc.jpg"/>
                    <pic:cNvPicPr/>
                  </pic:nvPicPr>
                  <pic:blipFill>
                    <a:blip r:embed="rId14"/>
                    <a:stretch>
                      <a:fillRect/>
                    </a:stretch>
                  </pic:blipFill>
                  <pic:spPr>
                    <a:xfrm>
                      <a:off x="0" y="0"/>
                      <a:ext cx="5257800" cy="2957512"/>
                    </a:xfrm>
                    <a:prstGeom prst="rect"/>
                  </pic:spPr>
                </pic:pic>
              </a:graphicData>
            </a:graphic>
          </wp:inline>
        </w:drawing>
      </w:r>
    </w:p>
    <w:p>
      <w:r>
        <w:t>Develop reliable tone-marked literacy, genre knowledge, critical interpretation, and the capacity to engage with contemporary media and oral/written arts.</w:t>
      </w:r>
    </w:p>
    <w:p>
      <w:r>
        <w:rPr>
          <w:rFonts w:ascii="Aptos" w:hAnsi="Aptos" w:eastAsia="Aptos"/>
          <w:b/>
          <w:color w:val="1F4D78"/>
        </w:rPr>
        <w:t xml:space="preserve">Institutional alignment: </w:t>
      </w:r>
      <w:r>
        <w:t>OOU oral/written literature, modern drama/poetry and Yorùbá in media; SOAS folktales, riddles, proverbs, email, recount and BBC Yorùbá; WAEC language/literature/orthography expectations.</w:t>
      </w:r>
    </w:p>
    <w:p>
      <w:pPr>
        <w:pStyle w:val="Heading2"/>
      </w:pPr>
      <w:r>
        <w:t>Exit outcomes</w:t>
      </w:r>
    </w:p>
    <w:p>
      <w:pPr>
        <w:pStyle w:val="ListBullet"/>
        <w:spacing w:after="80" w:line="300" w:lineRule="auto"/>
      </w:pPr>
      <w:r>
        <w:t>Read fully marked Standard Yorùbá without guessing from English or context alone.</w:t>
      </w:r>
    </w:p>
    <w:p>
      <w:pPr>
        <w:pStyle w:val="ListBullet"/>
        <w:spacing w:after="80" w:line="300" w:lineRule="auto"/>
      </w:pPr>
      <w:r>
        <w:t>Restore underdots and tone marks to familiar unmarked text using lexical and grammatical evidence, while flagging uncertainty.</w:t>
      </w:r>
    </w:p>
    <w:p>
      <w:pPr>
        <w:pStyle w:val="ListBullet"/>
        <w:spacing w:after="80" w:line="300" w:lineRule="auto"/>
      </w:pPr>
      <w:r>
        <w:t>Summarize and analyze folktales, òwe, àlọ́ àpamọ́ (riddles), wordplay, and oríkì with genre-sensitive language.</w:t>
      </w:r>
    </w:p>
    <w:p>
      <w:pPr>
        <w:pStyle w:val="ListBullet"/>
        <w:spacing w:after="80" w:line="300" w:lineRule="auto"/>
      </w:pPr>
      <w:r>
        <w:t>Read and discuss a BBC Yorùbá item or comparable professional media text, separating report, quotation, interpretation, and opinion.</w:t>
      </w:r>
    </w:p>
    <w:p>
      <w:pPr>
        <w:pStyle w:val="ListBullet"/>
        <w:spacing w:after="80" w:line="300" w:lineRule="auto"/>
      </w:pPr>
      <w:r>
        <w:t>Produce 180-250-word marked compositions and an 8-minute evidence-based discussion.</w:t>
      </w:r>
    </w:p>
    <w:p>
      <w:pPr>
        <w:pStyle w:val="Heading2"/>
      </w:pPr>
      <w:r>
        <w:t>Unit sequence</w:t>
      </w:r>
    </w:p>
    <w:p>
      <w:pPr>
        <w:pStyle w:val="Heading3"/>
        <w:keepNext/>
      </w:pPr>
      <w:r>
        <w:t>Unit 17. Orthography without guessing</w:t>
      </w:r>
    </w:p>
    <w:p>
      <w:r>
        <w:rPr>
          <w:rFonts w:ascii="Aptos" w:hAnsi="Aptos" w:eastAsia="Aptos"/>
          <w:b/>
          <w:color w:val="0B2545"/>
        </w:rPr>
        <w:t xml:space="preserve">Language and knowledge focus. </w:t>
      </w:r>
      <w:r>
        <w:t>dictation, tone restoration, punctuation, syllable segmentation, dictionary habits.</w:t>
      </w:r>
    </w:p>
    <w:p>
      <w:r>
        <w:rPr>
          <w:rFonts w:ascii="Aptos" w:hAnsi="Aptos" w:eastAsia="Aptos"/>
          <w:b/>
          <w:color w:val="0B2545"/>
        </w:rPr>
        <w:t xml:space="preserve">Studio / field practice. </w:t>
      </w:r>
      <w:r>
        <w:t>Three-pass transcription: segment, underdot, tone; compare with model and explain every correction.</w:t>
      </w:r>
    </w:p>
    <w:p>
      <w:r>
        <w:rPr>
          <w:rFonts w:ascii="Aptos" w:hAnsi="Aptos" w:eastAsia="Aptos"/>
          <w:b/>
          <w:color w:val="0B2545"/>
        </w:rPr>
        <w:t xml:space="preserve">Evidence. </w:t>
      </w:r>
      <w:r>
        <w:t>Unseen marked dictation.</w:t>
      </w:r>
    </w:p>
    <w:p>
      <w:pPr>
        <w:pStyle w:val="Heading3"/>
        <w:keepNext/>
      </w:pPr>
      <w:r>
        <w:t>Unit 18. Reading strategies and composition</w:t>
      </w:r>
    </w:p>
    <w:p>
      <w:r>
        <w:rPr>
          <w:rFonts w:ascii="Aptos" w:hAnsi="Aptos" w:eastAsia="Aptos"/>
          <w:b/>
          <w:color w:val="0B2545"/>
        </w:rPr>
        <w:t xml:space="preserve">Language and knowledge focus. </w:t>
      </w:r>
      <w:r>
        <w:t>phrase grouping, reference tracking, cohesive devices, paragraph architecture.</w:t>
      </w:r>
    </w:p>
    <w:p>
      <w:r>
        <w:rPr>
          <w:rFonts w:ascii="Aptos" w:hAnsi="Aptos" w:eastAsia="Aptos"/>
          <w:b/>
          <w:color w:val="0B2545"/>
        </w:rPr>
        <w:t xml:space="preserve">Studio / field practice. </w:t>
      </w:r>
      <w:r>
        <w:t>Read aloud, annotate, summarize, and rewrite from another viewpoint.</w:t>
      </w:r>
    </w:p>
    <w:p>
      <w:r>
        <w:rPr>
          <w:rFonts w:ascii="Aptos" w:hAnsi="Aptos" w:eastAsia="Aptos"/>
          <w:b/>
          <w:color w:val="0B2545"/>
        </w:rPr>
        <w:t xml:space="preserve">Evidence. </w:t>
      </w:r>
      <w:r>
        <w:t>Reading fluency + marked summary.</w:t>
      </w:r>
    </w:p>
    <w:p>
      <w:pPr>
        <w:pStyle w:val="Heading3"/>
        <w:keepNext/>
      </w:pPr>
      <w:r>
        <w:t>Unit 19. Folktales and narrative structure</w:t>
      </w:r>
    </w:p>
    <w:p>
      <w:r>
        <w:rPr>
          <w:rFonts w:ascii="Aptos" w:hAnsi="Aptos" w:eastAsia="Aptos"/>
          <w:b/>
          <w:color w:val="0B2545"/>
        </w:rPr>
        <w:t xml:space="preserve">Language and knowledge focus. </w:t>
      </w:r>
      <w:r>
        <w:t>opening/closing frames, sequence, reported speech, moral interpretation, motif.</w:t>
      </w:r>
    </w:p>
    <w:p>
      <w:r>
        <w:rPr>
          <w:rFonts w:ascii="Aptos" w:hAnsi="Aptos" w:eastAsia="Aptos"/>
          <w:b/>
          <w:color w:val="0B2545"/>
        </w:rPr>
        <w:t xml:space="preserve">Studio / field practice. </w:t>
      </w:r>
      <w:r>
        <w:t>Map setting-problem-attempt-resolution; retell orally; compare two interpretations without inventing origin claims.</w:t>
      </w:r>
    </w:p>
    <w:p>
      <w:r>
        <w:rPr>
          <w:rFonts w:ascii="Aptos" w:hAnsi="Aptos" w:eastAsia="Aptos"/>
          <w:b/>
          <w:color w:val="0B2545"/>
        </w:rPr>
        <w:t xml:space="preserve">Evidence. </w:t>
      </w:r>
      <w:r>
        <w:t>Retelling + analytical paragraph.</w:t>
      </w:r>
    </w:p>
    <w:p>
      <w:pPr>
        <w:pStyle w:val="Heading3"/>
        <w:keepNext/>
      </w:pPr>
      <w:r>
        <w:t>Unit 20. Òwe: proverb in context</w:t>
      </w:r>
    </w:p>
    <w:p>
      <w:r>
        <w:rPr>
          <w:rFonts w:ascii="Aptos" w:hAnsi="Aptos" w:eastAsia="Aptos"/>
          <w:b/>
          <w:color w:val="0B2545"/>
        </w:rPr>
        <w:t xml:space="preserve">Language and knowledge focus. </w:t>
      </w:r>
      <w:r>
        <w:t>metaphor, parallelism, ellipsis, discourse function, appropriateness.</w:t>
      </w:r>
    </w:p>
    <w:p>
      <w:r>
        <w:rPr>
          <w:rFonts w:ascii="Aptos" w:hAnsi="Aptos" w:eastAsia="Aptos"/>
          <w:b/>
          <w:color w:val="0B2545"/>
        </w:rPr>
        <w:t xml:space="preserve">Studio / field practice. </w:t>
      </w:r>
      <w:r>
        <w:t>Match proverb to scenario; paraphrase literal and pragmatic meanings; identify misuse.</w:t>
      </w:r>
    </w:p>
    <w:p>
      <w:r>
        <w:rPr>
          <w:rFonts w:ascii="Aptos" w:hAnsi="Aptos" w:eastAsia="Aptos"/>
          <w:b/>
          <w:color w:val="0B2545"/>
        </w:rPr>
        <w:t xml:space="preserve">Evidence. </w:t>
      </w:r>
      <w:r>
        <w:t>Contextual proverb commentary.</w:t>
      </w:r>
    </w:p>
    <w:p>
      <w:pPr>
        <w:pStyle w:val="Heading3"/>
        <w:keepNext/>
      </w:pPr>
      <w:r>
        <w:t>Unit 21. Riddles, puns, and language games</w:t>
      </w:r>
    </w:p>
    <w:p>
      <w:r>
        <w:rPr>
          <w:rFonts w:ascii="Aptos" w:hAnsi="Aptos" w:eastAsia="Aptos"/>
          <w:b/>
          <w:color w:val="0B2545"/>
        </w:rPr>
        <w:t xml:space="preserve">Language and knowledge focus. </w:t>
      </w:r>
      <w:r>
        <w:t>ambiguity, sound pattern, semantic fields, audience interaction.</w:t>
      </w:r>
    </w:p>
    <w:p>
      <w:r>
        <w:rPr>
          <w:rFonts w:ascii="Aptos" w:hAnsi="Aptos" w:eastAsia="Aptos"/>
          <w:b/>
          <w:color w:val="0B2545"/>
        </w:rPr>
        <w:t xml:space="preserve">Studio / field practice. </w:t>
      </w:r>
      <w:r>
        <w:t>Solve, explain clue logic, and create a tutor-validated riddle.</w:t>
      </w:r>
    </w:p>
    <w:p>
      <w:r>
        <w:rPr>
          <w:rFonts w:ascii="Aptos" w:hAnsi="Aptos" w:eastAsia="Aptos"/>
          <w:b/>
          <w:color w:val="0B2545"/>
        </w:rPr>
        <w:t xml:space="preserve">Evidence. </w:t>
      </w:r>
      <w:r>
        <w:t>Oral riddle session + reflection.</w:t>
      </w:r>
    </w:p>
    <w:p>
      <w:pPr>
        <w:pStyle w:val="Heading3"/>
        <w:keepNext/>
      </w:pPr>
      <w:r>
        <w:t>Unit 22. Oríkì praise poetry</w:t>
      </w:r>
    </w:p>
    <w:p>
      <w:r>
        <w:rPr>
          <w:rFonts w:ascii="Aptos" w:hAnsi="Aptos" w:eastAsia="Aptos"/>
          <w:b/>
          <w:color w:val="0B2545"/>
        </w:rPr>
        <w:t xml:space="preserve">Language and knowledge focus. </w:t>
      </w:r>
      <w:r>
        <w:t>performance, naming, lineage/social identity, imagery, repetition, ethics of attribution.</w:t>
      </w:r>
    </w:p>
    <w:p>
      <w:r>
        <w:rPr>
          <w:rFonts w:ascii="Aptos" w:hAnsi="Aptos" w:eastAsia="Aptos"/>
          <w:b/>
          <w:color w:val="0B2545"/>
        </w:rPr>
        <w:t xml:space="preserve">Studio / field practice. </w:t>
      </w:r>
      <w:r>
        <w:t>Listen to a permission-cleared excerpt; mark performance features; produce an analytical response rather than imitating a lineage claim.</w:t>
      </w:r>
    </w:p>
    <w:p>
      <w:r>
        <w:rPr>
          <w:rFonts w:ascii="Aptos" w:hAnsi="Aptos" w:eastAsia="Aptos"/>
          <w:b/>
          <w:color w:val="0B2545"/>
        </w:rPr>
        <w:t xml:space="preserve">Evidence. </w:t>
      </w:r>
      <w:r>
        <w:t>Oral analysis + annotated excerpt.</w:t>
      </w:r>
    </w:p>
    <w:p>
      <w:pPr>
        <w:pStyle w:val="Heading3"/>
        <w:keepNext/>
      </w:pPr>
      <w:r>
        <w:t>Unit 23. BBC Yorùbá and contemporary media literacy</w:t>
      </w:r>
    </w:p>
    <w:p>
      <w:r>
        <w:rPr>
          <w:rFonts w:ascii="Aptos" w:hAnsi="Aptos" w:eastAsia="Aptos"/>
          <w:b/>
          <w:color w:val="0B2545"/>
        </w:rPr>
        <w:t xml:space="preserve">Language and knowledge focus. </w:t>
      </w:r>
      <w:r>
        <w:t>headline syntax, reported speech, media vocabulary, source/evidence, register.</w:t>
      </w:r>
    </w:p>
    <w:p>
      <w:r>
        <w:rPr>
          <w:rFonts w:ascii="Aptos" w:hAnsi="Aptos" w:eastAsia="Aptos"/>
          <w:b/>
          <w:color w:val="0B2545"/>
        </w:rPr>
        <w:t xml:space="preserve">Studio / field practice. </w:t>
      </w:r>
      <w:r>
        <w:t>Read one item twice: first for gist, then for marked lexical/grammatical evidence; record a 90-second bulletin.</w:t>
      </w:r>
    </w:p>
    <w:p>
      <w:r>
        <w:rPr>
          <w:rFonts w:ascii="Aptos" w:hAnsi="Aptos" w:eastAsia="Aptos"/>
          <w:b/>
          <w:color w:val="0B2545"/>
        </w:rPr>
        <w:t xml:space="preserve">Evidence. </w:t>
      </w:r>
      <w:r>
        <w:t>Media brief + source audit.</w:t>
      </w:r>
    </w:p>
    <w:p>
      <w:pPr>
        <w:pStyle w:val="Heading3"/>
        <w:keepNext/>
      </w:pPr>
      <w:r>
        <w:t>Unit 24. Drama, poetry, email, and checkpoint</w:t>
      </w:r>
    </w:p>
    <w:p>
      <w:r>
        <w:rPr>
          <w:rFonts w:ascii="Aptos" w:hAnsi="Aptos" w:eastAsia="Aptos"/>
          <w:b/>
          <w:color w:val="0B2545"/>
        </w:rPr>
        <w:t xml:space="preserve">Language and knowledge focus. </w:t>
      </w:r>
      <w:r>
        <w:t>genre/register shifts; dialogue; formal/informal email; critical response.</w:t>
      </w:r>
    </w:p>
    <w:p>
      <w:r>
        <w:rPr>
          <w:rFonts w:ascii="Aptos" w:hAnsi="Aptos" w:eastAsia="Aptos"/>
          <w:b/>
          <w:color w:val="0B2545"/>
        </w:rPr>
        <w:t xml:space="preserve">Studio / field practice. </w:t>
      </w:r>
      <w:r>
        <w:t>Stage a short scene, write an email, compare oral and written performance, assemble literary/media portfolio.</w:t>
      </w:r>
    </w:p>
    <w:p>
      <w:r>
        <w:rPr>
          <w:rFonts w:ascii="Aptos" w:hAnsi="Aptos" w:eastAsia="Aptos"/>
          <w:b/>
          <w:color w:val="0B2545"/>
        </w:rPr>
        <w:t xml:space="preserve">Evidence. </w:t>
      </w:r>
      <w:r>
        <w:t>Integrated Module 3 exam and portfolio moderation.</w:t>
      </w:r>
    </w:p>
    <w:p>
      <w:pPr>
        <w:pStyle w:val="Heading2"/>
      </w:pPr>
      <w:r>
        <w:t>Module teaching cycle</w:t>
      </w:r>
    </w:p>
    <w:p>
      <w:pPr>
        <w:numPr>
          <w:ilvl w:val="0"/>
          <w:numId w:val="13"/>
        </w:numPr>
        <w:spacing w:after="80" w:line="300" w:lineRule="auto"/>
      </w:pPr>
      <w:r>
        <w:t>Preview: one can-do goal, one sound/tone target, one grammar frame, and one cultural question.</w:t>
      </w:r>
    </w:p>
    <w:p>
      <w:pPr>
        <w:numPr>
          <w:ilvl w:val="0"/>
          <w:numId w:val="13"/>
        </w:numPr>
        <w:spacing w:after="80" w:line="300" w:lineRule="auto"/>
      </w:pPr>
      <w:r>
        <w:t>Input: marked text plus audio; first for meaning, second for form, third for shadowing.</w:t>
      </w:r>
    </w:p>
    <w:p>
      <w:pPr>
        <w:numPr>
          <w:ilvl w:val="0"/>
          <w:numId w:val="13"/>
        </w:numPr>
        <w:spacing w:after="80" w:line="300" w:lineRule="auto"/>
      </w:pPr>
      <w:r>
        <w:t>Notice: underline the grammatical frame and annotate every tone/underdot that carries a contrast.</w:t>
      </w:r>
    </w:p>
    <w:p>
      <w:pPr>
        <w:numPr>
          <w:ilvl w:val="0"/>
          <w:numId w:val="13"/>
        </w:numPr>
        <w:spacing w:after="80" w:line="300" w:lineRule="auto"/>
      </w:pPr>
      <w:r>
        <w:t>Drill: substitution, transformation, both-direction translation, tone discrimination, and timed retrieval.</w:t>
      </w:r>
    </w:p>
    <w:p>
      <w:pPr>
        <w:numPr>
          <w:ilvl w:val="0"/>
          <w:numId w:val="13"/>
        </w:numPr>
        <w:spacing w:after="80" w:line="300" w:lineRule="auto"/>
      </w:pPr>
      <w:r>
        <w:t>Interaction: classroom-slow rehearsal, near-natural role-play, then a phone/voice-note version.</w:t>
      </w:r>
    </w:p>
    <w:p>
      <w:pPr>
        <w:numPr>
          <w:ilvl w:val="0"/>
          <w:numId w:val="13"/>
        </w:numPr>
        <w:spacing w:after="80" w:line="300" w:lineRule="auto"/>
      </w:pPr>
      <w:r>
        <w:t>Create: speaking and writing task with fully marked learner text where required by the module.</w:t>
      </w:r>
    </w:p>
    <w:p>
      <w:pPr>
        <w:numPr>
          <w:ilvl w:val="0"/>
          <w:numId w:val="13"/>
        </w:numPr>
        <w:spacing w:after="80" w:line="300" w:lineRule="auto"/>
      </w:pPr>
      <w:r>
        <w:t>Reflect: update error log; re-record/rewrite; schedule failed items for spaced review.</w:t>
      </w:r>
    </w:p>
    <w:p>
      <w:pPr>
        <w:pStyle w:val="Heading2"/>
      </w:pPr>
      <w:r>
        <w:t>Tone-restoration workflow</w:t>
      </w:r>
    </w:p>
    <w:p>
      <w:pPr>
        <w:numPr>
          <w:ilvl w:val="0"/>
          <w:numId w:val="14"/>
        </w:numPr>
        <w:spacing w:after="80" w:line="300" w:lineRule="auto"/>
      </w:pPr>
      <w:r>
        <w:t>Read the whole sentence for syntax and discourse before adding any mark.</w:t>
      </w:r>
    </w:p>
    <w:p>
      <w:pPr>
        <w:numPr>
          <w:ilvl w:val="0"/>
          <w:numId w:val="14"/>
        </w:numPr>
        <w:spacing w:after="80" w:line="300" w:lineRule="auto"/>
      </w:pPr>
      <w:r>
        <w:t>Mark distinct letters first: ẹ, ọ, ṣ. An underdot is not a tone mark.</w:t>
      </w:r>
    </w:p>
    <w:p>
      <w:pPr>
        <w:numPr>
          <w:ilvl w:val="0"/>
          <w:numId w:val="14"/>
        </w:numPr>
        <w:spacing w:after="80" w:line="300" w:lineRule="auto"/>
      </w:pPr>
      <w:r>
        <w:t>Segment words into syllable nuclei and identify known lexical items and grammatical particles.</w:t>
      </w:r>
    </w:p>
    <w:p>
      <w:pPr>
        <w:numPr>
          <w:ilvl w:val="0"/>
          <w:numId w:val="14"/>
        </w:numPr>
        <w:spacing w:after="80" w:line="300" w:lineRule="auto"/>
      </w:pPr>
      <w:r>
        <w:t>Add tones only when supported by learned lexical/grammatical knowledge or an approved dictionary/audio source.</w:t>
      </w:r>
    </w:p>
    <w:p>
      <w:pPr>
        <w:numPr>
          <w:ilvl w:val="0"/>
          <w:numId w:val="14"/>
        </w:numPr>
        <w:spacing w:after="80" w:line="300" w:lineRule="auto"/>
      </w:pPr>
      <w:r>
        <w:t>Write UNCERTAIN beside unresolved forms; verify with a literate speaker or source instead of guessing.</w:t>
      </w:r>
    </w:p>
    <w:p>
      <w:pPr>
        <w:numPr>
          <w:ilvl w:val="0"/>
          <w:numId w:val="14"/>
        </w:numPr>
        <w:spacing w:after="80" w:line="300" w:lineRule="auto"/>
      </w:pPr>
      <w:r>
        <w:t>Read the restored text aloud, record it, and compare the pitch trace by ear with the model.</w:t>
      </w:r>
    </w:p>
    <w:p>
      <w:pPr>
        <w:pStyle w:val="Heading2"/>
      </w:pPr>
      <w:r>
        <w:t>Module checkpoint blueprint</w:t>
      </w:r>
    </w:p>
    <w:tbl>
      <w:tblPr>
        <w:tblStyle w:val="TableGrid"/>
        <w:tblW w:type="dxa" w:w="9360"/>
        <w:jc w:val="left"/>
        <w:tblLayout w:type="fixed"/>
        <w:tblLook w:firstColumn="1" w:firstRow="1" w:lastColumn="0" w:lastRow="0" w:noHBand="0" w:noVBand="1" w:val="04A0"/>
        <w:tblInd w:w="120" w:type="dxa"/>
      </w:tblPr>
      <w:tblGrid>
        <w:gridCol w:w="1600"/>
        <w:gridCol w:w="1300"/>
        <w:gridCol w:w="6460"/>
      </w:tblGrid>
      <w:tr>
        <w:trPr>
          <w:tblHeader w:val="true"/>
          <w:cantSplit/>
        </w:trPr>
        <w:tc>
          <w:tcPr>
            <w:tcW w:type="dxa" w:w="1600"/>
            <w:shd w:fill="E8EEF5"/>
            <w:vAlign w:val="center"/>
            <w:tcMar>
              <w:top w:w="80" w:type="dxa"/>
              <w:start w:w="120" w:type="dxa"/>
              <w:bottom w:w="80" w:type="dxa"/>
              <w:end w:w="120" w:type="dxa"/>
            </w:tcMar>
          </w:tcPr>
          <w:p>
            <w:pPr>
              <w:spacing w:after="0"/>
            </w:pPr>
            <w:r>
              <w:rPr>
                <w:rFonts w:ascii="Aptos" w:hAnsi="Aptos" w:eastAsia="Aptos"/>
                <w:b/>
                <w:color w:val="0B2545"/>
                <w:sz w:val="18"/>
              </w:rPr>
              <w:t>Skill</w:t>
            </w:r>
          </w:p>
        </w:tc>
        <w:tc>
          <w:tcPr>
            <w:tcW w:type="dxa" w:w="1300"/>
            <w:shd w:fill="E8EEF5"/>
            <w:vAlign w:val="center"/>
            <w:tcMar>
              <w:top w:w="80" w:type="dxa"/>
              <w:start w:w="120" w:type="dxa"/>
              <w:bottom w:w="80" w:type="dxa"/>
              <w:end w:w="120" w:type="dxa"/>
            </w:tcMar>
          </w:tcPr>
          <w:p>
            <w:pPr>
              <w:spacing w:after="0"/>
            </w:pPr>
            <w:r>
              <w:rPr>
                <w:rFonts w:ascii="Aptos" w:hAnsi="Aptos" w:eastAsia="Aptos"/>
                <w:b/>
                <w:color w:val="0B2545"/>
                <w:sz w:val="18"/>
              </w:rPr>
              <w:t>Time</w:t>
            </w:r>
          </w:p>
        </w:tc>
        <w:tc>
          <w:tcPr>
            <w:tcW w:type="dxa" w:w="6460"/>
            <w:shd w:fill="E8EEF5"/>
            <w:vAlign w:val="center"/>
            <w:tcMar>
              <w:top w:w="80" w:type="dxa"/>
              <w:start w:w="120" w:type="dxa"/>
              <w:bottom w:w="80" w:type="dxa"/>
              <w:end w:w="120" w:type="dxa"/>
            </w:tcMar>
          </w:tcPr>
          <w:p>
            <w:pPr>
              <w:spacing w:after="0"/>
            </w:pPr>
            <w:r>
              <w:rPr>
                <w:rFonts w:ascii="Aptos" w:hAnsi="Aptos" w:eastAsia="Aptos"/>
                <w:b/>
                <w:color w:val="0B2545"/>
                <w:sz w:val="18"/>
              </w:rPr>
              <w:t>Task shape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Listening</w:t>
            </w:r>
          </w:p>
        </w:tc>
        <w:tc>
          <w:tcPr>
            <w:tcW w:type="dxa" w:w="1300"/>
            <w:vAlign w:val="top"/>
            <w:tcMar>
              <w:top w:w="80" w:type="dxa"/>
              <w:start w:w="120" w:type="dxa"/>
              <w:bottom w:w="80" w:type="dxa"/>
              <w:end w:w="120" w:type="dxa"/>
            </w:tcMar>
          </w:tcPr>
          <w:p>
            <w:pPr>
              <w:spacing w:after="0"/>
            </w:pPr>
            <w:r>
              <w:rPr>
                <w:rFonts w:ascii="Aptos" w:hAnsi="Aptos" w:eastAsia="Aptos"/>
                <w:sz w:val="18"/>
              </w:rPr>
              <w:t>25 min</w:t>
            </w:r>
          </w:p>
        </w:tc>
        <w:tc>
          <w:tcPr>
            <w:tcW w:type="dxa" w:w="6460"/>
            <w:vAlign w:val="top"/>
            <w:tcMar>
              <w:top w:w="80" w:type="dxa"/>
              <w:start w:w="120" w:type="dxa"/>
              <w:bottom w:w="80" w:type="dxa"/>
              <w:end w:w="120" w:type="dxa"/>
            </w:tcMar>
          </w:tcPr>
          <w:p>
            <w:pPr>
              <w:spacing w:after="0"/>
            </w:pPr>
            <w:r>
              <w:rPr>
                <w:rFonts w:ascii="Aptos" w:hAnsi="Aptos" w:eastAsia="Aptos"/>
                <w:sz w:val="18"/>
              </w:rPr>
              <w:t>Folktale/media excerpt; gist, detail, stance, tone transcription</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Speaking</w:t>
            </w:r>
          </w:p>
        </w:tc>
        <w:tc>
          <w:tcPr>
            <w:tcW w:type="dxa" w:w="1300"/>
            <w:vAlign w:val="top"/>
            <w:tcMar>
              <w:top w:w="80" w:type="dxa"/>
              <w:start w:w="120" w:type="dxa"/>
              <w:bottom w:w="80" w:type="dxa"/>
              <w:end w:w="120" w:type="dxa"/>
            </w:tcMar>
          </w:tcPr>
          <w:p>
            <w:pPr>
              <w:spacing w:after="0"/>
            </w:pPr>
            <w:r>
              <w:rPr>
                <w:rFonts w:ascii="Aptos" w:hAnsi="Aptos" w:eastAsia="Aptos"/>
                <w:sz w:val="18"/>
              </w:rPr>
              <w:t>15-18 min</w:t>
            </w:r>
          </w:p>
        </w:tc>
        <w:tc>
          <w:tcPr>
            <w:tcW w:type="dxa" w:w="6460"/>
            <w:vAlign w:val="top"/>
            <w:tcMar>
              <w:top w:w="80" w:type="dxa"/>
              <w:start w:w="120" w:type="dxa"/>
              <w:bottom w:w="80" w:type="dxa"/>
              <w:end w:w="120" w:type="dxa"/>
            </w:tcMar>
          </w:tcPr>
          <w:p>
            <w:pPr>
              <w:spacing w:after="0"/>
            </w:pPr>
            <w:r>
              <w:rPr>
                <w:rFonts w:ascii="Aptos" w:hAnsi="Aptos" w:eastAsia="Aptos"/>
                <w:sz w:val="18"/>
              </w:rPr>
              <w:t>Retell, proverb/riddle explanation, media discussion</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Reading</w:t>
            </w:r>
          </w:p>
        </w:tc>
        <w:tc>
          <w:tcPr>
            <w:tcW w:type="dxa" w:w="1300"/>
            <w:vAlign w:val="top"/>
            <w:tcMar>
              <w:top w:w="80" w:type="dxa"/>
              <w:start w:w="120" w:type="dxa"/>
              <w:bottom w:w="80" w:type="dxa"/>
              <w:end w:w="120" w:type="dxa"/>
            </w:tcMar>
          </w:tcPr>
          <w:p>
            <w:pPr>
              <w:spacing w:after="0"/>
            </w:pPr>
            <w:r>
              <w:rPr>
                <w:rFonts w:ascii="Aptos" w:hAnsi="Aptos" w:eastAsia="Aptos"/>
                <w:sz w:val="18"/>
              </w:rPr>
              <w:t>45 min</w:t>
            </w:r>
          </w:p>
        </w:tc>
        <w:tc>
          <w:tcPr>
            <w:tcW w:type="dxa" w:w="6460"/>
            <w:vAlign w:val="top"/>
            <w:tcMar>
              <w:top w:w="80" w:type="dxa"/>
              <w:start w:w="120" w:type="dxa"/>
              <w:bottom w:w="80" w:type="dxa"/>
              <w:end w:w="120" w:type="dxa"/>
            </w:tcMar>
          </w:tcPr>
          <w:p>
            <w:pPr>
              <w:spacing w:after="0"/>
            </w:pPr>
            <w:r>
              <w:rPr>
                <w:rFonts w:ascii="Aptos" w:hAnsi="Aptos" w:eastAsia="Aptos"/>
                <w:sz w:val="18"/>
              </w:rPr>
              <w:t>Literary and media passages with annotation</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Writing</w:t>
            </w:r>
          </w:p>
        </w:tc>
        <w:tc>
          <w:tcPr>
            <w:tcW w:type="dxa" w:w="1300"/>
            <w:vAlign w:val="top"/>
            <w:tcMar>
              <w:top w:w="80" w:type="dxa"/>
              <w:start w:w="120" w:type="dxa"/>
              <w:bottom w:w="80" w:type="dxa"/>
              <w:end w:w="120" w:type="dxa"/>
            </w:tcMar>
          </w:tcPr>
          <w:p>
            <w:pPr>
              <w:spacing w:after="0"/>
            </w:pPr>
            <w:r>
              <w:rPr>
                <w:rFonts w:ascii="Aptos" w:hAnsi="Aptos" w:eastAsia="Aptos"/>
                <w:sz w:val="18"/>
              </w:rPr>
              <w:t>60 min</w:t>
            </w:r>
          </w:p>
        </w:tc>
        <w:tc>
          <w:tcPr>
            <w:tcW w:type="dxa" w:w="6460"/>
            <w:vAlign w:val="top"/>
            <w:tcMar>
              <w:top w:w="80" w:type="dxa"/>
              <w:start w:w="120" w:type="dxa"/>
              <w:bottom w:w="80" w:type="dxa"/>
              <w:end w:w="120" w:type="dxa"/>
            </w:tcMar>
          </w:tcPr>
          <w:p>
            <w:pPr>
              <w:spacing w:after="0"/>
            </w:pPr>
            <w:r>
              <w:rPr>
                <w:rFonts w:ascii="Aptos" w:hAnsi="Aptos" w:eastAsia="Aptos"/>
                <w:sz w:val="18"/>
              </w:rPr>
              <w:t>180-250 marked words plus tone-restoration rationale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Culture/literature</w:t>
            </w:r>
          </w:p>
        </w:tc>
        <w:tc>
          <w:tcPr>
            <w:tcW w:type="dxa" w:w="1300"/>
            <w:vAlign w:val="top"/>
            <w:tcMar>
              <w:top w:w="80" w:type="dxa"/>
              <w:start w:w="120" w:type="dxa"/>
              <w:bottom w:w="80" w:type="dxa"/>
              <w:end w:w="120" w:type="dxa"/>
            </w:tcMar>
          </w:tcPr>
          <w:p>
            <w:pPr>
              <w:spacing w:after="0"/>
            </w:pPr>
            <w:r>
              <w:rPr>
                <w:rFonts w:ascii="Aptos" w:hAnsi="Aptos" w:eastAsia="Aptos"/>
                <w:sz w:val="18"/>
              </w:rPr>
              <w:t>25 min</w:t>
            </w:r>
          </w:p>
        </w:tc>
        <w:tc>
          <w:tcPr>
            <w:tcW w:type="dxa" w:w="6460"/>
            <w:vAlign w:val="top"/>
            <w:tcMar>
              <w:top w:w="80" w:type="dxa"/>
              <w:start w:w="120" w:type="dxa"/>
              <w:bottom w:w="80" w:type="dxa"/>
              <w:end w:w="120" w:type="dxa"/>
            </w:tcMar>
          </w:tcPr>
          <w:p>
            <w:pPr>
              <w:spacing w:after="0"/>
            </w:pPr>
            <w:r>
              <w:rPr>
                <w:rFonts w:ascii="Aptos" w:hAnsi="Aptos" w:eastAsia="Aptos"/>
                <w:sz w:val="18"/>
              </w:rPr>
              <w:t>Genre-sensitive analysis using evidence</w:t>
            </w:r>
          </w:p>
        </w:tc>
      </w:tr>
    </w:tbl>
    <w:p>
      <w:r>
        <w:br w:type="page"/>
      </w:r>
    </w:p>
    <w:p>
      <w:pPr>
        <w:pStyle w:val="Heading1"/>
      </w:pPr>
      <w:r>
        <w:t>Part 6. Module 4: Advanced - Syntax, Translation, Traditional Systems, and Comparative Linguistics</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E8EEF5"/>
          </w:tcPr>
          <w:p>
            <w:pPr>
              <w:spacing w:after="0"/>
            </w:pPr>
            <w:r>
              <w:rPr>
                <w:rFonts w:ascii="Aptos" w:hAnsi="Aptos" w:eastAsia="Aptos"/>
                <w:b/>
                <w:color w:val="0B2545"/>
              </w:rPr>
              <w:t xml:space="preserve">TARGET </w:t>
            </w:r>
            <w:r>
              <w:t>B2 to C1-C2-oriented academic/professional independence</w:t>
            </w:r>
          </w:p>
        </w:tc>
      </w:tr>
    </w:tbl>
    <w:p>
      <w:pPr>
        <w:spacing w:after="0"/>
      </w:pPr>
    </w:p>
    <w:p>
      <w:pPr>
        <w:spacing w:before="140" w:after="100"/>
        <w:jc w:val="center"/>
      </w:pPr>
      <w:r>
        <w:drawing>
          <wp:inline xmlns:a="http://schemas.openxmlformats.org/drawingml/2006/main" xmlns:pic="http://schemas.openxmlformats.org/drawingml/2006/picture">
            <wp:extent cx="5257800" cy="2957512"/>
            <wp:docPr id="6" name="Picture 6" descr="Advanced learner wearing headphones at a research desk with books and a city map" title="Advanced learner wearing headphones at a research desk with books and a city map"/>
            <wp:cNvGraphicFramePr>
              <a:graphicFrameLocks noChangeAspect="1"/>
            </wp:cNvGraphicFramePr>
            <a:graphic>
              <a:graphicData uri="http://schemas.openxmlformats.org/drawingml/2006/picture">
                <pic:pic>
                  <pic:nvPicPr>
                    <pic:cNvPr id="0" name="module-4-gemini-doc.jpg"/>
                    <pic:cNvPicPr/>
                  </pic:nvPicPr>
                  <pic:blipFill>
                    <a:blip r:embed="rId15"/>
                    <a:stretch>
                      <a:fillRect/>
                    </a:stretch>
                  </pic:blipFill>
                  <pic:spPr>
                    <a:xfrm>
                      <a:off x="0" y="0"/>
                      <a:ext cx="5257800" cy="2957512"/>
                    </a:xfrm>
                    <a:prstGeom prst="rect"/>
                  </pic:spPr>
                </pic:pic>
              </a:graphicData>
            </a:graphic>
          </wp:inline>
        </w:drawing>
      </w:r>
    </w:p>
    <w:p>
      <w:r>
        <w:t>Consolidate complex language use with translation/interpreting, research, cultural-systems analysis, comparative linguistics, and a defensible capstone. The C1-C2 language is a proficiency-oriented target, not an official CEFR certificate.</w:t>
      </w:r>
    </w:p>
    <w:p>
      <w:r>
        <w:rPr>
          <w:rFonts w:ascii="Aptos" w:hAnsi="Aptos" w:eastAsia="Aptos"/>
          <w:b/>
          <w:color w:val="1F4D78"/>
        </w:rPr>
        <w:t xml:space="preserve">Institutional alignment: </w:t>
      </w:r>
      <w:r>
        <w:t>OOU 300/400-level advanced grammar/syntax, semantics/discourse, translation/interpretation, stylistics, philosophy, media, comparative languages and research; UNILAG YLCIP advanced systems; NINLAN translation/linguistics/research orientation.</w:t>
      </w:r>
    </w:p>
    <w:p>
      <w:pPr>
        <w:pStyle w:val="Heading2"/>
      </w:pPr>
      <w:r>
        <w:t>Exit outcomes</w:t>
      </w:r>
    </w:p>
    <w:p>
      <w:pPr>
        <w:pStyle w:val="ListBullet"/>
        <w:spacing w:after="80" w:line="300" w:lineRule="auto"/>
      </w:pPr>
      <w:r>
        <w:t>Analyze complex clauses, information structure, style, cohesion, stance, and register in speech and writing.</w:t>
      </w:r>
    </w:p>
    <w:p>
      <w:pPr>
        <w:pStyle w:val="ListBullet"/>
        <w:spacing w:after="80" w:line="300" w:lineRule="auto"/>
      </w:pPr>
      <w:r>
        <w:t>Translate and interpret short, ethically bounded texts while documenting ambiguity, cultural terms, and revision decisions.</w:t>
      </w:r>
    </w:p>
    <w:p>
      <w:pPr>
        <w:pStyle w:val="ListBullet"/>
        <w:spacing w:after="80" w:line="300" w:lineRule="auto"/>
      </w:pPr>
      <w:r>
        <w:t>Explain selected traditional systems using sourced evidence and careful distinctions between historical, contemporary, regional, and religious claims.</w:t>
      </w:r>
    </w:p>
    <w:p>
      <w:pPr>
        <w:pStyle w:val="ListBullet"/>
        <w:spacing w:after="80" w:line="300" w:lineRule="auto"/>
      </w:pPr>
      <w:r>
        <w:t>Conduct typological comparison involving Yorùbá and selected West African languages without assuming genealogical relationship from geographic proximity.</w:t>
      </w:r>
    </w:p>
    <w:p>
      <w:pPr>
        <w:pStyle w:val="ListBullet"/>
        <w:spacing w:after="80" w:line="300" w:lineRule="auto"/>
      </w:pPr>
      <w:r>
        <w:t>Complete a 2,500-4,000-word research project or equivalent translation/media portfolio with an oral defence in Yorùbá and English as appropriate.</w:t>
      </w:r>
    </w:p>
    <w:p>
      <w:pPr>
        <w:pStyle w:val="Heading2"/>
      </w:pPr>
      <w:r>
        <w:t>Unit sequence</w:t>
      </w:r>
    </w:p>
    <w:p>
      <w:pPr>
        <w:pStyle w:val="Heading3"/>
        <w:keepNext/>
      </w:pPr>
      <w:r>
        <w:t>Unit 25. Complex syntax, semantics, and discourse</w:t>
      </w:r>
    </w:p>
    <w:p>
      <w:r>
        <w:rPr>
          <w:rFonts w:ascii="Aptos" w:hAnsi="Aptos" w:eastAsia="Aptos"/>
          <w:b/>
          <w:color w:val="0B2545"/>
        </w:rPr>
        <w:t xml:space="preserve">Language and knowledge focus. </w:t>
      </w:r>
      <w:r>
        <w:t>clause combining, relatives, complement structures, serial verbs, focus, information packaging, modality, cohesion.</w:t>
      </w:r>
    </w:p>
    <w:p>
      <w:r>
        <w:rPr>
          <w:rFonts w:ascii="Aptos" w:hAnsi="Aptos" w:eastAsia="Aptos"/>
          <w:b/>
          <w:color w:val="0B2545"/>
        </w:rPr>
        <w:t xml:space="preserve">Studio / field practice. </w:t>
      </w:r>
      <w:r>
        <w:t>Parse and rewrite authentic sentences; compare formal, media, and conversational choices.</w:t>
      </w:r>
    </w:p>
    <w:p>
      <w:r>
        <w:rPr>
          <w:rFonts w:ascii="Aptos" w:hAnsi="Aptos" w:eastAsia="Aptos"/>
          <w:b/>
          <w:color w:val="0B2545"/>
        </w:rPr>
        <w:t xml:space="preserve">Evidence. </w:t>
      </w:r>
      <w:r>
        <w:t>Linguistic analysis + controlled production.</w:t>
      </w:r>
    </w:p>
    <w:p>
      <w:pPr>
        <w:pStyle w:val="Heading3"/>
        <w:keepNext/>
      </w:pPr>
      <w:r>
        <w:t>Unit 26. Translation and interpretation studies</w:t>
      </w:r>
    </w:p>
    <w:p>
      <w:r>
        <w:rPr>
          <w:rFonts w:ascii="Aptos" w:hAnsi="Aptos" w:eastAsia="Aptos"/>
          <w:b/>
          <w:color w:val="0B2545"/>
        </w:rPr>
        <w:t xml:space="preserve">Language and knowledge focus. </w:t>
      </w:r>
      <w:r>
        <w:t>equivalence, register, terminology, ambiguity, names, culturally bound forms, note-taking, ethics.</w:t>
      </w:r>
    </w:p>
    <w:p>
      <w:r>
        <w:rPr>
          <w:rFonts w:ascii="Aptos" w:hAnsi="Aptos" w:eastAsia="Aptos"/>
          <w:b/>
          <w:color w:val="0B2545"/>
        </w:rPr>
        <w:t xml:space="preserve">Studio / field practice. </w:t>
      </w:r>
      <w:r>
        <w:t>Sight-translate, consecutive interpret, back-translate, and produce a decision log.</w:t>
      </w:r>
    </w:p>
    <w:p>
      <w:r>
        <w:rPr>
          <w:rFonts w:ascii="Aptos" w:hAnsi="Aptos" w:eastAsia="Aptos"/>
          <w:b/>
          <w:color w:val="0B2545"/>
        </w:rPr>
        <w:t xml:space="preserve">Evidence. </w:t>
      </w:r>
      <w:r>
        <w:t>Bilingual portfolio + commentary.</w:t>
      </w:r>
    </w:p>
    <w:p>
      <w:pPr>
        <w:pStyle w:val="Heading3"/>
        <w:keepNext/>
      </w:pPr>
      <w:r>
        <w:t>Unit 27. History and significant cities/towns</w:t>
      </w:r>
    </w:p>
    <w:p>
      <w:r>
        <w:rPr>
          <w:rFonts w:ascii="Aptos" w:hAnsi="Aptos" w:eastAsia="Aptos"/>
          <w:b/>
          <w:color w:val="0B2545"/>
        </w:rPr>
        <w:t xml:space="preserve">Language and knowledge focus. </w:t>
      </w:r>
      <w:r>
        <w:t>historical narrative, chronology, source attribution, competing accounts, place description.</w:t>
      </w:r>
    </w:p>
    <w:p>
      <w:r>
        <w:rPr>
          <w:rFonts w:ascii="Aptos" w:hAnsi="Aptos" w:eastAsia="Aptos"/>
          <w:b/>
          <w:color w:val="0B2545"/>
        </w:rPr>
        <w:t xml:space="preserve">Studio / field practice. </w:t>
      </w:r>
      <w:r>
        <w:t>Build a sourced timeline and city profile; distinguish evidence from oral account and interpretation.</w:t>
      </w:r>
    </w:p>
    <w:p>
      <w:r>
        <w:rPr>
          <w:rFonts w:ascii="Aptos" w:hAnsi="Aptos" w:eastAsia="Aptos"/>
          <w:b/>
          <w:color w:val="0B2545"/>
        </w:rPr>
        <w:t xml:space="preserve">Evidence. </w:t>
      </w:r>
      <w:r>
        <w:t>Research briefing.</w:t>
      </w:r>
    </w:p>
    <w:p>
      <w:pPr>
        <w:pStyle w:val="Heading3"/>
        <w:keepNext/>
      </w:pPr>
      <w:r>
        <w:t>Unit 28. Traditional commerce, industry, arts, music, theatre, healthcare, fauna and flora</w:t>
      </w:r>
    </w:p>
    <w:p>
      <w:r>
        <w:rPr>
          <w:rFonts w:ascii="Aptos" w:hAnsi="Aptos" w:eastAsia="Aptos"/>
          <w:b/>
          <w:color w:val="0B2545"/>
        </w:rPr>
        <w:t xml:space="preserve">Language and knowledge focus. </w:t>
      </w:r>
      <w:r>
        <w:t>domain terminology and systems description.</w:t>
      </w:r>
    </w:p>
    <w:p>
      <w:r>
        <w:rPr>
          <w:rFonts w:ascii="Aptos" w:hAnsi="Aptos" w:eastAsia="Aptos"/>
          <w:b/>
          <w:color w:val="0B2545"/>
        </w:rPr>
        <w:t xml:space="preserve">Studio / field practice. </w:t>
      </w:r>
      <w:r>
        <w:t>Choose one domain for a case study; interview only with consent; avoid medical advice claims.</w:t>
      </w:r>
    </w:p>
    <w:p>
      <w:r>
        <w:rPr>
          <w:rFonts w:ascii="Aptos" w:hAnsi="Aptos" w:eastAsia="Aptos"/>
          <w:b/>
          <w:color w:val="0B2545"/>
        </w:rPr>
        <w:t xml:space="preserve">Evidence. </w:t>
      </w:r>
      <w:r>
        <w:t>Domain glossary + presentation.</w:t>
      </w:r>
    </w:p>
    <w:p>
      <w:pPr>
        <w:pStyle w:val="Heading3"/>
        <w:keepNext/>
      </w:pPr>
      <w:r>
        <w:t>Unit 29. Ifá, traditional religions, philosophy, and thought</w:t>
      </w:r>
    </w:p>
    <w:p>
      <w:r>
        <w:rPr>
          <w:rFonts w:ascii="Aptos" w:hAnsi="Aptos" w:eastAsia="Aptos"/>
          <w:b/>
          <w:color w:val="0B2545"/>
        </w:rPr>
        <w:t xml:space="preserve">Language and knowledge focus. </w:t>
      </w:r>
      <w:r>
        <w:t>specialized vocabulary, respectful comparison, quotation/paraphrase, epistemic caution.</w:t>
      </w:r>
    </w:p>
    <w:p>
      <w:r>
        <w:rPr>
          <w:rFonts w:ascii="Aptos" w:hAnsi="Aptos" w:eastAsia="Aptos"/>
          <w:b/>
          <w:color w:val="0B2545"/>
        </w:rPr>
        <w:t xml:space="preserve">Studio / field practice. </w:t>
      </w:r>
      <w:r>
        <w:t>Analyze institutional/approved sources; distinguish description, practitioner perspective, historical claim, and personal belief.</w:t>
      </w:r>
    </w:p>
    <w:p>
      <w:r>
        <w:rPr>
          <w:rFonts w:ascii="Aptos" w:hAnsi="Aptos" w:eastAsia="Aptos"/>
          <w:b/>
          <w:color w:val="0B2545"/>
        </w:rPr>
        <w:t xml:space="preserve">Evidence. </w:t>
      </w:r>
      <w:r>
        <w:t>Neutral analytical essay.</w:t>
      </w:r>
    </w:p>
    <w:p>
      <w:pPr>
        <w:pStyle w:val="Heading3"/>
        <w:keepNext/>
      </w:pPr>
      <w:r>
        <w:t>Unit 30. Political/social systems and rites of passage</w:t>
      </w:r>
    </w:p>
    <w:p>
      <w:r>
        <w:rPr>
          <w:rFonts w:ascii="Aptos" w:hAnsi="Aptos" w:eastAsia="Aptos"/>
          <w:b/>
          <w:color w:val="0B2545"/>
        </w:rPr>
        <w:t xml:space="preserve">Language and knowledge focus. </w:t>
      </w:r>
      <w:r>
        <w:t>institutions, titles, kinship, ceremony, change over time, policy/media register.</w:t>
      </w:r>
    </w:p>
    <w:p>
      <w:r>
        <w:rPr>
          <w:rFonts w:ascii="Aptos" w:hAnsi="Aptos" w:eastAsia="Aptos"/>
          <w:b/>
          <w:color w:val="0B2545"/>
        </w:rPr>
        <w:t xml:space="preserve">Studio / field practice. </w:t>
      </w:r>
      <w:r>
        <w:t>Compare historical and contemporary accounts; study naming/christening and wedding rites without treating one practice as universal.</w:t>
      </w:r>
    </w:p>
    <w:p>
      <w:r>
        <w:rPr>
          <w:rFonts w:ascii="Aptos" w:hAnsi="Aptos" w:eastAsia="Aptos"/>
          <w:b/>
          <w:color w:val="0B2545"/>
        </w:rPr>
        <w:t xml:space="preserve">Evidence. </w:t>
      </w:r>
      <w:r>
        <w:t>Seminar + source critique.</w:t>
      </w:r>
    </w:p>
    <w:p>
      <w:pPr>
        <w:pStyle w:val="Heading3"/>
        <w:keepNext/>
      </w:pPr>
      <w:r>
        <w:t>Unit 31. Comparative West African linguistics</w:t>
      </w:r>
    </w:p>
    <w:p>
      <w:r>
        <w:rPr>
          <w:rFonts w:ascii="Aptos" w:hAnsi="Aptos" w:eastAsia="Aptos"/>
          <w:b/>
          <w:color w:val="0B2545"/>
        </w:rPr>
        <w:t xml:space="preserve">Language and knowledge focus. </w:t>
      </w:r>
      <w:r>
        <w:t>phonology, tone, morphology, word order, borrowing, contact, language policy, methods.</w:t>
      </w:r>
    </w:p>
    <w:p>
      <w:r>
        <w:rPr>
          <w:rFonts w:ascii="Aptos" w:hAnsi="Aptos" w:eastAsia="Aptos"/>
          <w:b/>
          <w:color w:val="0B2545"/>
        </w:rPr>
        <w:t xml:space="preserve">Studio / field practice. </w:t>
      </w:r>
      <w:r>
        <w:t>Create a feature matrix for Yorùbá, Hausa, Igbo, and Efik using specialist sources; state limits and avoid false family trees.</w:t>
      </w:r>
    </w:p>
    <w:p>
      <w:r>
        <w:rPr>
          <w:rFonts w:ascii="Aptos" w:hAnsi="Aptos" w:eastAsia="Aptos"/>
          <w:b/>
          <w:color w:val="0B2545"/>
        </w:rPr>
        <w:t xml:space="preserve">Evidence. </w:t>
      </w:r>
      <w:r>
        <w:t>Comparative paper + oral defence.</w:t>
      </w:r>
    </w:p>
    <w:p>
      <w:pPr>
        <w:pStyle w:val="Heading3"/>
        <w:keepNext/>
      </w:pPr>
      <w:r>
        <w:t>Unit 32. Research, media, teaching, and capstone</w:t>
      </w:r>
    </w:p>
    <w:p>
      <w:r>
        <w:rPr>
          <w:rFonts w:ascii="Aptos" w:hAnsi="Aptos" w:eastAsia="Aptos"/>
          <w:b/>
          <w:color w:val="0B2545"/>
        </w:rPr>
        <w:t xml:space="preserve">Language and knowledge focus. </w:t>
      </w:r>
      <w:r>
        <w:t>research question, ethics, data, transcription, analysis, citation, editing, public communication.</w:t>
      </w:r>
    </w:p>
    <w:p>
      <w:r>
        <w:rPr>
          <w:rFonts w:ascii="Aptos" w:hAnsi="Aptos" w:eastAsia="Aptos"/>
          <w:b/>
          <w:color w:val="0B2545"/>
        </w:rPr>
        <w:t xml:space="preserve">Studio / field practice. </w:t>
      </w:r>
      <w:r>
        <w:t>Complete capstone; present to tutor/panel; revise from feedback; prepare a public summary and professional portfolio.</w:t>
      </w:r>
    </w:p>
    <w:p>
      <w:r>
        <w:rPr>
          <w:rFonts w:ascii="Aptos" w:hAnsi="Aptos" w:eastAsia="Aptos"/>
          <w:b/>
          <w:color w:val="0B2545"/>
        </w:rPr>
        <w:t xml:space="preserve">Evidence. </w:t>
      </w:r>
      <w:r>
        <w:t>Integrated Module 4 exam, capstone, and defence.</w:t>
      </w:r>
    </w:p>
    <w:p>
      <w:pPr>
        <w:pStyle w:val="Heading2"/>
      </w:pPr>
      <w:r>
        <w:t>Module teaching cycle</w:t>
      </w:r>
    </w:p>
    <w:p>
      <w:pPr>
        <w:numPr>
          <w:ilvl w:val="0"/>
          <w:numId w:val="15"/>
        </w:numPr>
        <w:spacing w:after="80" w:line="300" w:lineRule="auto"/>
      </w:pPr>
      <w:r>
        <w:t>Preview: one can-do goal, one sound/tone target, one grammar frame, and one cultural question.</w:t>
      </w:r>
    </w:p>
    <w:p>
      <w:pPr>
        <w:numPr>
          <w:ilvl w:val="0"/>
          <w:numId w:val="15"/>
        </w:numPr>
        <w:spacing w:after="80" w:line="300" w:lineRule="auto"/>
      </w:pPr>
      <w:r>
        <w:t>Input: marked text plus audio; first for meaning, second for form, third for shadowing.</w:t>
      </w:r>
    </w:p>
    <w:p>
      <w:pPr>
        <w:numPr>
          <w:ilvl w:val="0"/>
          <w:numId w:val="15"/>
        </w:numPr>
        <w:spacing w:after="80" w:line="300" w:lineRule="auto"/>
      </w:pPr>
      <w:r>
        <w:t>Notice: underline the grammatical frame and annotate every tone/underdot that carries a contrast.</w:t>
      </w:r>
    </w:p>
    <w:p>
      <w:pPr>
        <w:numPr>
          <w:ilvl w:val="0"/>
          <w:numId w:val="15"/>
        </w:numPr>
        <w:spacing w:after="80" w:line="300" w:lineRule="auto"/>
      </w:pPr>
      <w:r>
        <w:t>Drill: substitution, transformation, both-direction translation, tone discrimination, and timed retrieval.</w:t>
      </w:r>
    </w:p>
    <w:p>
      <w:pPr>
        <w:numPr>
          <w:ilvl w:val="0"/>
          <w:numId w:val="15"/>
        </w:numPr>
        <w:spacing w:after="80" w:line="300" w:lineRule="auto"/>
      </w:pPr>
      <w:r>
        <w:t>Interaction: classroom-slow rehearsal, near-natural role-play, then a phone/voice-note version.</w:t>
      </w:r>
    </w:p>
    <w:p>
      <w:pPr>
        <w:numPr>
          <w:ilvl w:val="0"/>
          <w:numId w:val="15"/>
        </w:numPr>
        <w:spacing w:after="80" w:line="300" w:lineRule="auto"/>
      </w:pPr>
      <w:r>
        <w:t>Create: speaking and writing task with fully marked learner text where required by the module.</w:t>
      </w:r>
    </w:p>
    <w:p>
      <w:pPr>
        <w:numPr>
          <w:ilvl w:val="0"/>
          <w:numId w:val="15"/>
        </w:numPr>
        <w:spacing w:after="80" w:line="300" w:lineRule="auto"/>
      </w:pPr>
      <w:r>
        <w:t>Reflect: update error log; re-record/rewrite; schedule failed items for spaced review.</w:t>
      </w:r>
    </w:p>
    <w:p>
      <w:pPr>
        <w:pStyle w:val="Heading2"/>
      </w:pPr>
      <w:r>
        <w:t>Advanced inquiry safeguards</w:t>
      </w:r>
    </w:p>
    <w:p>
      <w:pPr>
        <w:pStyle w:val="ListBullet"/>
        <w:spacing w:after="80" w:line="300" w:lineRule="auto"/>
      </w:pPr>
      <w:r>
        <w:t>A description of Ifá or another religious system must identify the perspective and source; it must not present one account as the only universal practice.</w:t>
      </w:r>
    </w:p>
    <w:p>
      <w:pPr>
        <w:pStyle w:val="ListBullet"/>
        <w:spacing w:after="80" w:line="300" w:lineRule="auto"/>
      </w:pPr>
      <w:r>
        <w:t>A claim about a city, political title, rite, or lineage must be dated and located where possible, because systems change and vary.</w:t>
      </w:r>
    </w:p>
    <w:p>
      <w:pPr>
        <w:pStyle w:val="ListBullet"/>
        <w:spacing w:after="80" w:line="300" w:lineRule="auto"/>
      </w:pPr>
      <w:r>
        <w:t>Traditional healthcare content is studied as language, history, and cultural knowledge; the course does not convert it into medical advice.</w:t>
      </w:r>
    </w:p>
    <w:p>
      <w:pPr>
        <w:pStyle w:val="ListBullet"/>
        <w:spacing w:after="80" w:line="300" w:lineRule="auto"/>
      </w:pPr>
      <w:r>
        <w:t>Comparative linguistics distinguishes typological similarity, borrowing/contact, and genealogical relationship.</w:t>
      </w:r>
    </w:p>
    <w:p>
      <w:pPr>
        <w:pStyle w:val="ListBullet"/>
        <w:spacing w:after="80" w:line="300" w:lineRule="auto"/>
      </w:pPr>
      <w:r>
        <w:t>Interviews require informed consent, a clear use statement, secure storage, and the participant's right to withdraw within the project protocol.</w:t>
      </w:r>
    </w:p>
    <w:p>
      <w:pPr>
        <w:pStyle w:val="ListBullet"/>
        <w:spacing w:after="80" w:line="300" w:lineRule="auto"/>
      </w:pPr>
      <w:r>
        <w:t>Translation notes preserve unresolved ambiguity rather than hiding it with invented certainty.</w:t>
      </w:r>
    </w:p>
    <w:p>
      <w:pPr>
        <w:pStyle w:val="Heading2"/>
      </w:pPr>
      <w:r>
        <w:t>C1-C2 proficiency studio</w:t>
      </w:r>
    </w:p>
    <w:p>
      <w:r>
        <w:t>The advanced extension turns broad course coverage into sustained independent performance. It remains tutor- or panel-moderated and does not award an official CEFR level.</w:t>
      </w:r>
    </w:p>
    <w:tbl>
      <w:tblPr>
        <w:tblStyle w:val="TableGrid"/>
        <w:tblW w:type="dxa" w:w="9360"/>
        <w:jc w:val="left"/>
        <w:tblLayout w:type="fixed"/>
        <w:tblLook w:firstColumn="1" w:firstRow="1" w:lastColumn="0" w:lastRow="0" w:noHBand="0" w:noVBand="1" w:val="04A0"/>
        <w:tblInd w:w="120" w:type="dxa"/>
      </w:tblPr>
      <w:tblGrid>
        <w:gridCol w:w="1650"/>
        <w:gridCol w:w="3750"/>
        <w:gridCol w:w="3960"/>
      </w:tblGrid>
      <w:tr>
        <w:trPr>
          <w:tblHeader w:val="true"/>
          <w:cantSplit/>
        </w:trPr>
        <w:tc>
          <w:tcPr>
            <w:tcW w:type="dxa" w:w="1650"/>
            <w:shd w:fill="E8EEF5"/>
            <w:vAlign w:val="center"/>
            <w:tcMar>
              <w:top w:w="80" w:type="dxa"/>
              <w:start w:w="120" w:type="dxa"/>
              <w:bottom w:w="80" w:type="dxa"/>
              <w:end w:w="120" w:type="dxa"/>
            </w:tcMar>
          </w:tcPr>
          <w:p>
            <w:pPr>
              <w:spacing w:after="0"/>
            </w:pPr>
            <w:r>
              <w:rPr>
                <w:rFonts w:ascii="Aptos" w:hAnsi="Aptos" w:eastAsia="Aptos"/>
                <w:b/>
                <w:color w:val="0B2545"/>
                <w:sz w:val="16"/>
              </w:rPr>
              <w:t>Studio dimension</w:t>
            </w:r>
          </w:p>
        </w:tc>
        <w:tc>
          <w:tcPr>
            <w:tcW w:type="dxa" w:w="3750"/>
            <w:shd w:fill="E8EEF5"/>
            <w:vAlign w:val="center"/>
            <w:tcMar>
              <w:top w:w="80" w:type="dxa"/>
              <w:start w:w="120" w:type="dxa"/>
              <w:bottom w:w="80" w:type="dxa"/>
              <w:end w:w="120" w:type="dxa"/>
            </w:tcMar>
          </w:tcPr>
          <w:p>
            <w:pPr>
              <w:spacing w:after="0"/>
            </w:pPr>
            <w:r>
              <w:rPr>
                <w:rFonts w:ascii="Aptos" w:hAnsi="Aptos" w:eastAsia="Aptos"/>
                <w:b/>
                <w:color w:val="0B2545"/>
                <w:sz w:val="16"/>
              </w:rPr>
              <w:t>C1-oriented performance</w:t>
            </w:r>
          </w:p>
        </w:tc>
        <w:tc>
          <w:tcPr>
            <w:tcW w:type="dxa" w:w="3960"/>
            <w:shd w:fill="E8EEF5"/>
            <w:vAlign w:val="center"/>
            <w:tcMar>
              <w:top w:w="80" w:type="dxa"/>
              <w:start w:w="120" w:type="dxa"/>
              <w:bottom w:w="80" w:type="dxa"/>
              <w:end w:w="120" w:type="dxa"/>
            </w:tcMar>
          </w:tcPr>
          <w:p>
            <w:pPr>
              <w:spacing w:after="0"/>
            </w:pPr>
            <w:r>
              <w:rPr>
                <w:rFonts w:ascii="Aptos" w:hAnsi="Aptos" w:eastAsia="Aptos"/>
                <w:b/>
                <w:color w:val="0B2545"/>
                <w:sz w:val="16"/>
              </w:rPr>
              <w:t>C2-oriented extension evidence</w:t>
            </w:r>
          </w:p>
        </w:tc>
      </w:tr>
      <w:tr>
        <w:trPr>
          <w:cantSplit/>
        </w:trPr>
        <w:tc>
          <w:tcPr>
            <w:tcW w:type="dxa" w:w="1650"/>
            <w:vAlign w:val="top"/>
            <w:tcMar>
              <w:top w:w="80" w:type="dxa"/>
              <w:start w:w="120" w:type="dxa"/>
              <w:bottom w:w="80" w:type="dxa"/>
              <w:end w:w="120" w:type="dxa"/>
            </w:tcMar>
          </w:tcPr>
          <w:p>
            <w:pPr>
              <w:spacing w:after="0"/>
            </w:pPr>
            <w:r>
              <w:rPr>
                <w:rFonts w:ascii="Aptos" w:hAnsi="Aptos" w:eastAsia="Aptos"/>
                <w:sz w:val="16"/>
              </w:rPr>
              <w:t>Listening</w:t>
            </w:r>
          </w:p>
        </w:tc>
        <w:tc>
          <w:tcPr>
            <w:tcW w:type="dxa" w:w="3750"/>
            <w:vAlign w:val="top"/>
            <w:tcMar>
              <w:top w:w="80" w:type="dxa"/>
              <w:start w:w="120" w:type="dxa"/>
              <w:bottom w:w="80" w:type="dxa"/>
              <w:end w:w="120" w:type="dxa"/>
            </w:tcMar>
          </w:tcPr>
          <w:p>
            <w:pPr>
              <w:spacing w:after="0"/>
            </w:pPr>
            <w:r>
              <w:rPr>
                <w:rFonts w:ascii="Aptos" w:hAnsi="Aptos" w:eastAsia="Aptos"/>
                <w:sz w:val="16"/>
              </w:rPr>
              <w:t>Follow extended interviews, lectures, news and cultural media; summarize stance and key evidence.</w:t>
            </w:r>
          </w:p>
        </w:tc>
        <w:tc>
          <w:tcPr>
            <w:tcW w:type="dxa" w:w="3960"/>
            <w:vAlign w:val="top"/>
            <w:tcMar>
              <w:top w:w="80" w:type="dxa"/>
              <w:start w:w="120" w:type="dxa"/>
              <w:bottom w:w="80" w:type="dxa"/>
              <w:end w:w="120" w:type="dxa"/>
            </w:tcMar>
          </w:tcPr>
          <w:p>
            <w:pPr>
              <w:spacing w:after="0"/>
            </w:pPr>
            <w:r>
              <w:rPr>
                <w:rFonts w:ascii="Aptos" w:hAnsi="Aptos" w:eastAsia="Aptos"/>
                <w:sz w:val="16"/>
              </w:rPr>
              <w:t>Integrate dense or fast input across varieties/registers, identify ambiguity, and mediate it for another audience.</w:t>
            </w:r>
          </w:p>
        </w:tc>
      </w:tr>
      <w:tr>
        <w:trPr>
          <w:cantSplit/>
        </w:trPr>
        <w:tc>
          <w:tcPr>
            <w:tcW w:type="dxa" w:w="1650"/>
            <w:vAlign w:val="top"/>
            <w:tcMar>
              <w:top w:w="80" w:type="dxa"/>
              <w:start w:w="120" w:type="dxa"/>
              <w:bottom w:w="80" w:type="dxa"/>
              <w:end w:w="120" w:type="dxa"/>
            </w:tcMar>
          </w:tcPr>
          <w:p>
            <w:pPr>
              <w:spacing w:after="0"/>
            </w:pPr>
            <w:r>
              <w:rPr>
                <w:rFonts w:ascii="Aptos" w:hAnsi="Aptos" w:eastAsia="Aptos"/>
                <w:sz w:val="16"/>
              </w:rPr>
              <w:t>Speaking</w:t>
            </w:r>
          </w:p>
        </w:tc>
        <w:tc>
          <w:tcPr>
            <w:tcW w:type="dxa" w:w="3750"/>
            <w:vAlign w:val="top"/>
            <w:tcMar>
              <w:top w:w="80" w:type="dxa"/>
              <w:start w:w="120" w:type="dxa"/>
              <w:bottom w:w="80" w:type="dxa"/>
              <w:end w:w="120" w:type="dxa"/>
            </w:tcMar>
          </w:tcPr>
          <w:p>
            <w:pPr>
              <w:spacing w:after="0"/>
            </w:pPr>
            <w:r>
              <w:rPr>
                <w:rFonts w:ascii="Aptos" w:hAnsi="Aptos" w:eastAsia="Aptos"/>
                <w:sz w:val="16"/>
              </w:rPr>
              <w:t>Present and defend an organized source-based analysis with flexible repair.</w:t>
            </w:r>
          </w:p>
        </w:tc>
        <w:tc>
          <w:tcPr>
            <w:tcW w:type="dxa" w:w="3960"/>
            <w:vAlign w:val="top"/>
            <w:tcMar>
              <w:top w:w="80" w:type="dxa"/>
              <w:start w:w="120" w:type="dxa"/>
              <w:bottom w:w="80" w:type="dxa"/>
              <w:end w:w="120" w:type="dxa"/>
            </w:tcMar>
          </w:tcPr>
          <w:p>
            <w:pPr>
              <w:spacing w:after="0"/>
            </w:pPr>
            <w:r>
              <w:rPr>
                <w:rFonts w:ascii="Aptos" w:hAnsi="Aptos" w:eastAsia="Aptos"/>
                <w:sz w:val="16"/>
              </w:rPr>
              <w:t>Sustain precise, nuanced discussion; shift register and reformulate complex ideas without concealing uncertainty.</w:t>
            </w:r>
          </w:p>
        </w:tc>
      </w:tr>
      <w:tr>
        <w:trPr>
          <w:cantSplit/>
        </w:trPr>
        <w:tc>
          <w:tcPr>
            <w:tcW w:type="dxa" w:w="1650"/>
            <w:vAlign w:val="top"/>
            <w:tcMar>
              <w:top w:w="80" w:type="dxa"/>
              <w:start w:w="120" w:type="dxa"/>
              <w:bottom w:w="80" w:type="dxa"/>
              <w:end w:w="120" w:type="dxa"/>
            </w:tcMar>
          </w:tcPr>
          <w:p>
            <w:pPr>
              <w:spacing w:after="0"/>
            </w:pPr>
            <w:r>
              <w:rPr>
                <w:rFonts w:ascii="Aptos" w:hAnsi="Aptos" w:eastAsia="Aptos"/>
                <w:sz w:val="16"/>
              </w:rPr>
              <w:t>Reading</w:t>
            </w:r>
          </w:p>
        </w:tc>
        <w:tc>
          <w:tcPr>
            <w:tcW w:type="dxa" w:w="3750"/>
            <w:vAlign w:val="top"/>
            <w:tcMar>
              <w:top w:w="80" w:type="dxa"/>
              <w:start w:w="120" w:type="dxa"/>
              <w:bottom w:w="80" w:type="dxa"/>
              <w:end w:w="120" w:type="dxa"/>
            </w:tcMar>
          </w:tcPr>
          <w:p>
            <w:pPr>
              <w:spacing w:after="0"/>
            </w:pPr>
            <w:r>
              <w:rPr>
                <w:rFonts w:ascii="Aptos" w:hAnsi="Aptos" w:eastAsia="Aptos"/>
                <w:sz w:val="16"/>
              </w:rPr>
              <w:t>Synthesize academic, historical, literary and media sources.</w:t>
            </w:r>
          </w:p>
        </w:tc>
        <w:tc>
          <w:tcPr>
            <w:tcW w:type="dxa" w:w="3960"/>
            <w:vAlign w:val="top"/>
            <w:tcMar>
              <w:top w:w="80" w:type="dxa"/>
              <w:start w:w="120" w:type="dxa"/>
              <w:bottom w:w="80" w:type="dxa"/>
              <w:end w:w="120" w:type="dxa"/>
            </w:tcMar>
          </w:tcPr>
          <w:p>
            <w:pPr>
              <w:spacing w:after="0"/>
            </w:pPr>
            <w:r>
              <w:rPr>
                <w:rFonts w:ascii="Aptos" w:hAnsi="Aptos" w:eastAsia="Aptos"/>
                <w:sz w:val="16"/>
              </w:rPr>
              <w:t>Critique source position, genre, implied audience, competing interpretations and methodological limits.</w:t>
            </w:r>
          </w:p>
        </w:tc>
      </w:tr>
      <w:tr>
        <w:trPr>
          <w:cantSplit/>
        </w:trPr>
        <w:tc>
          <w:tcPr>
            <w:tcW w:type="dxa" w:w="1650"/>
            <w:vAlign w:val="top"/>
            <w:tcMar>
              <w:top w:w="80" w:type="dxa"/>
              <w:start w:w="120" w:type="dxa"/>
              <w:bottom w:w="80" w:type="dxa"/>
              <w:end w:w="120" w:type="dxa"/>
            </w:tcMar>
          </w:tcPr>
          <w:p>
            <w:pPr>
              <w:spacing w:after="0"/>
            </w:pPr>
            <w:r>
              <w:rPr>
                <w:rFonts w:ascii="Aptos" w:hAnsi="Aptos" w:eastAsia="Aptos"/>
                <w:sz w:val="16"/>
              </w:rPr>
              <w:t>Writing</w:t>
            </w:r>
          </w:p>
        </w:tc>
        <w:tc>
          <w:tcPr>
            <w:tcW w:type="dxa" w:w="3750"/>
            <w:vAlign w:val="top"/>
            <w:tcMar>
              <w:top w:w="80" w:type="dxa"/>
              <w:start w:w="120" w:type="dxa"/>
              <w:bottom w:w="80" w:type="dxa"/>
              <w:end w:w="120" w:type="dxa"/>
            </w:tcMar>
          </w:tcPr>
          <w:p>
            <w:pPr>
              <w:spacing w:after="0"/>
            </w:pPr>
            <w:r>
              <w:rPr>
                <w:rFonts w:ascii="Aptos" w:hAnsi="Aptos" w:eastAsia="Aptos"/>
                <w:sz w:val="16"/>
              </w:rPr>
              <w:t>Produce a controlled 1,500-2,500-word bilingual or Yorùbá-led study.</w:t>
            </w:r>
          </w:p>
        </w:tc>
        <w:tc>
          <w:tcPr>
            <w:tcW w:type="dxa" w:w="3960"/>
            <w:vAlign w:val="top"/>
            <w:tcMar>
              <w:top w:w="80" w:type="dxa"/>
              <w:start w:w="120" w:type="dxa"/>
              <w:bottom w:w="80" w:type="dxa"/>
              <w:end w:w="120" w:type="dxa"/>
            </w:tcMar>
          </w:tcPr>
          <w:p>
            <w:pPr>
              <w:spacing w:after="0"/>
            </w:pPr>
            <w:r>
              <w:rPr>
                <w:rFonts w:ascii="Aptos" w:hAnsi="Aptos" w:eastAsia="Aptos"/>
                <w:sz w:val="16"/>
              </w:rPr>
              <w:t>Revise for publication-quality coherence, terminology and orthography after expert feedback.</w:t>
            </w:r>
          </w:p>
        </w:tc>
      </w:tr>
      <w:tr>
        <w:trPr>
          <w:cantSplit/>
        </w:trPr>
        <w:tc>
          <w:tcPr>
            <w:tcW w:type="dxa" w:w="1650"/>
            <w:vAlign w:val="top"/>
            <w:tcMar>
              <w:top w:w="80" w:type="dxa"/>
              <w:start w:w="120" w:type="dxa"/>
              <w:bottom w:w="80" w:type="dxa"/>
              <w:end w:w="120" w:type="dxa"/>
            </w:tcMar>
          </w:tcPr>
          <w:p>
            <w:pPr>
              <w:spacing w:after="0"/>
            </w:pPr>
            <w:r>
              <w:rPr>
                <w:rFonts w:ascii="Aptos" w:hAnsi="Aptos" w:eastAsia="Aptos"/>
                <w:sz w:val="16"/>
              </w:rPr>
              <w:t>Mediation</w:t>
            </w:r>
          </w:p>
        </w:tc>
        <w:tc>
          <w:tcPr>
            <w:tcW w:type="dxa" w:w="3750"/>
            <w:vAlign w:val="top"/>
            <w:tcMar>
              <w:top w:w="80" w:type="dxa"/>
              <w:start w:w="120" w:type="dxa"/>
              <w:bottom w:w="80" w:type="dxa"/>
              <w:end w:w="120" w:type="dxa"/>
            </w:tcMar>
          </w:tcPr>
          <w:p>
            <w:pPr>
              <w:spacing w:after="0"/>
            </w:pPr>
            <w:r>
              <w:rPr>
                <w:rFonts w:ascii="Aptos" w:hAnsi="Aptos" w:eastAsia="Aptos"/>
                <w:sz w:val="16"/>
              </w:rPr>
              <w:t>Translate or interpret a bounded public-interest or cultural text with a decision log.</w:t>
            </w:r>
          </w:p>
        </w:tc>
        <w:tc>
          <w:tcPr>
            <w:tcW w:type="dxa" w:w="3960"/>
            <w:vAlign w:val="top"/>
            <w:tcMar>
              <w:top w:w="80" w:type="dxa"/>
              <w:start w:w="120" w:type="dxa"/>
              <w:bottom w:w="80" w:type="dxa"/>
              <w:end w:w="120" w:type="dxa"/>
            </w:tcMar>
          </w:tcPr>
          <w:p>
            <w:pPr>
              <w:spacing w:after="0"/>
            </w:pPr>
            <w:r>
              <w:rPr>
                <w:rFonts w:ascii="Aptos" w:hAnsi="Aptos" w:eastAsia="Aptos"/>
                <w:sz w:val="16"/>
              </w:rPr>
              <w:t>Handle culturally dense meaning and multiple defensible choices while documenting loss, risk and alternatives.</w:t>
            </w:r>
          </w:p>
        </w:tc>
      </w:tr>
    </w:tbl>
    <w:p>
      <w:r>
        <w:t>Freshness requirement: the final studio must integrate one deep cultural strand - foodways; folktales/oral arts; a city/history question; attributable public voices or music; film/television; fashion/material culture; political systems; religious-literary study; or comparative linguistics.</w:t>
      </w:r>
    </w:p>
    <w:p>
      <w:pPr>
        <w:pStyle w:val="Heading2"/>
      </w:pPr>
      <w:r>
        <w:t>Module checkpoint blueprint</w:t>
      </w:r>
    </w:p>
    <w:tbl>
      <w:tblPr>
        <w:tblStyle w:val="TableGrid"/>
        <w:tblW w:type="dxa" w:w="9360"/>
        <w:jc w:val="left"/>
        <w:tblLayout w:type="fixed"/>
        <w:tblLook w:firstColumn="1" w:firstRow="1" w:lastColumn="0" w:lastRow="0" w:noHBand="0" w:noVBand="1" w:val="04A0"/>
        <w:tblInd w:w="120" w:type="dxa"/>
      </w:tblPr>
      <w:tblGrid>
        <w:gridCol w:w="1600"/>
        <w:gridCol w:w="1300"/>
        <w:gridCol w:w="6460"/>
      </w:tblGrid>
      <w:tr>
        <w:trPr>
          <w:tblHeader w:val="true"/>
          <w:cantSplit/>
        </w:trPr>
        <w:tc>
          <w:tcPr>
            <w:tcW w:type="dxa" w:w="1600"/>
            <w:shd w:fill="E8EEF5"/>
            <w:vAlign w:val="center"/>
            <w:tcMar>
              <w:top w:w="80" w:type="dxa"/>
              <w:start w:w="120" w:type="dxa"/>
              <w:bottom w:w="80" w:type="dxa"/>
              <w:end w:w="120" w:type="dxa"/>
            </w:tcMar>
          </w:tcPr>
          <w:p>
            <w:pPr>
              <w:spacing w:after="0"/>
            </w:pPr>
            <w:r>
              <w:rPr>
                <w:rFonts w:ascii="Aptos" w:hAnsi="Aptos" w:eastAsia="Aptos"/>
                <w:b/>
                <w:color w:val="0B2545"/>
                <w:sz w:val="18"/>
              </w:rPr>
              <w:t>Skill</w:t>
            </w:r>
          </w:p>
        </w:tc>
        <w:tc>
          <w:tcPr>
            <w:tcW w:type="dxa" w:w="1300"/>
            <w:shd w:fill="E8EEF5"/>
            <w:vAlign w:val="center"/>
            <w:tcMar>
              <w:top w:w="80" w:type="dxa"/>
              <w:start w:w="120" w:type="dxa"/>
              <w:bottom w:w="80" w:type="dxa"/>
              <w:end w:w="120" w:type="dxa"/>
            </w:tcMar>
          </w:tcPr>
          <w:p>
            <w:pPr>
              <w:spacing w:after="0"/>
            </w:pPr>
            <w:r>
              <w:rPr>
                <w:rFonts w:ascii="Aptos" w:hAnsi="Aptos" w:eastAsia="Aptos"/>
                <w:b/>
                <w:color w:val="0B2545"/>
                <w:sz w:val="18"/>
              </w:rPr>
              <w:t>Time</w:t>
            </w:r>
          </w:p>
        </w:tc>
        <w:tc>
          <w:tcPr>
            <w:tcW w:type="dxa" w:w="6460"/>
            <w:shd w:fill="E8EEF5"/>
            <w:vAlign w:val="center"/>
            <w:tcMar>
              <w:top w:w="80" w:type="dxa"/>
              <w:start w:w="120" w:type="dxa"/>
              <w:bottom w:w="80" w:type="dxa"/>
              <w:end w:w="120" w:type="dxa"/>
            </w:tcMar>
          </w:tcPr>
          <w:p>
            <w:pPr>
              <w:spacing w:after="0"/>
            </w:pPr>
            <w:r>
              <w:rPr>
                <w:rFonts w:ascii="Aptos" w:hAnsi="Aptos" w:eastAsia="Aptos"/>
                <w:b/>
                <w:color w:val="0B2545"/>
                <w:sz w:val="18"/>
              </w:rPr>
              <w:t>Task shape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Listening</w:t>
            </w:r>
          </w:p>
        </w:tc>
        <w:tc>
          <w:tcPr>
            <w:tcW w:type="dxa" w:w="1300"/>
            <w:vAlign w:val="top"/>
            <w:tcMar>
              <w:top w:w="80" w:type="dxa"/>
              <w:start w:w="120" w:type="dxa"/>
              <w:bottom w:w="80" w:type="dxa"/>
              <w:end w:w="120" w:type="dxa"/>
            </w:tcMar>
          </w:tcPr>
          <w:p>
            <w:pPr>
              <w:spacing w:after="0"/>
            </w:pPr>
            <w:r>
              <w:rPr>
                <w:rFonts w:ascii="Aptos" w:hAnsi="Aptos" w:eastAsia="Aptos"/>
                <w:sz w:val="18"/>
              </w:rPr>
              <w:t>30 min</w:t>
            </w:r>
          </w:p>
        </w:tc>
        <w:tc>
          <w:tcPr>
            <w:tcW w:type="dxa" w:w="6460"/>
            <w:vAlign w:val="top"/>
            <w:tcMar>
              <w:top w:w="80" w:type="dxa"/>
              <w:start w:w="120" w:type="dxa"/>
              <w:bottom w:w="80" w:type="dxa"/>
              <w:end w:w="120" w:type="dxa"/>
            </w:tcMar>
          </w:tcPr>
          <w:p>
            <w:pPr>
              <w:spacing w:after="0"/>
            </w:pPr>
            <w:r>
              <w:rPr>
                <w:rFonts w:ascii="Aptos" w:hAnsi="Aptos" w:eastAsia="Aptos"/>
                <w:sz w:val="18"/>
              </w:rPr>
              <w:t>Lecture/interview/media with summary and critical notes</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Speaking</w:t>
            </w:r>
          </w:p>
        </w:tc>
        <w:tc>
          <w:tcPr>
            <w:tcW w:type="dxa" w:w="1300"/>
            <w:vAlign w:val="top"/>
            <w:tcMar>
              <w:top w:w="80" w:type="dxa"/>
              <w:start w:w="120" w:type="dxa"/>
              <w:bottom w:w="80" w:type="dxa"/>
              <w:end w:w="120" w:type="dxa"/>
            </w:tcMar>
          </w:tcPr>
          <w:p>
            <w:pPr>
              <w:spacing w:after="0"/>
            </w:pPr>
            <w:r>
              <w:rPr>
                <w:rFonts w:ascii="Aptos" w:hAnsi="Aptos" w:eastAsia="Aptos"/>
                <w:sz w:val="18"/>
              </w:rPr>
              <w:t>20-25 min</w:t>
            </w:r>
          </w:p>
        </w:tc>
        <w:tc>
          <w:tcPr>
            <w:tcW w:type="dxa" w:w="6460"/>
            <w:vAlign w:val="top"/>
            <w:tcMar>
              <w:top w:w="80" w:type="dxa"/>
              <w:start w:w="120" w:type="dxa"/>
              <w:bottom w:w="80" w:type="dxa"/>
              <w:end w:w="120" w:type="dxa"/>
            </w:tcMar>
          </w:tcPr>
          <w:p>
            <w:pPr>
              <w:spacing w:after="0"/>
            </w:pPr>
            <w:r>
              <w:rPr>
                <w:rFonts w:ascii="Aptos" w:hAnsi="Aptos" w:eastAsia="Aptos"/>
                <w:sz w:val="18"/>
              </w:rPr>
              <w:t>Presentation, interpretation sample, questions and defence</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Reading</w:t>
            </w:r>
          </w:p>
        </w:tc>
        <w:tc>
          <w:tcPr>
            <w:tcW w:type="dxa" w:w="1300"/>
            <w:vAlign w:val="top"/>
            <w:tcMar>
              <w:top w:w="80" w:type="dxa"/>
              <w:start w:w="120" w:type="dxa"/>
              <w:bottom w:w="80" w:type="dxa"/>
              <w:end w:w="120" w:type="dxa"/>
            </w:tcMar>
          </w:tcPr>
          <w:p>
            <w:pPr>
              <w:spacing w:after="0"/>
            </w:pPr>
            <w:r>
              <w:rPr>
                <w:rFonts w:ascii="Aptos" w:hAnsi="Aptos" w:eastAsia="Aptos"/>
                <w:sz w:val="18"/>
              </w:rPr>
              <w:t>60 min</w:t>
            </w:r>
          </w:p>
        </w:tc>
        <w:tc>
          <w:tcPr>
            <w:tcW w:type="dxa" w:w="6460"/>
            <w:vAlign w:val="top"/>
            <w:tcMar>
              <w:top w:w="80" w:type="dxa"/>
              <w:start w:w="120" w:type="dxa"/>
              <w:bottom w:w="80" w:type="dxa"/>
              <w:end w:w="120" w:type="dxa"/>
            </w:tcMar>
          </w:tcPr>
          <w:p>
            <w:pPr>
              <w:spacing w:after="0"/>
            </w:pPr>
            <w:r>
              <w:rPr>
                <w:rFonts w:ascii="Aptos" w:hAnsi="Aptos" w:eastAsia="Aptos"/>
                <w:sz w:val="18"/>
              </w:rPr>
              <w:t>Academic, literary, historical, or policy texts</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Writing</w:t>
            </w:r>
          </w:p>
        </w:tc>
        <w:tc>
          <w:tcPr>
            <w:tcW w:type="dxa" w:w="1300"/>
            <w:vAlign w:val="top"/>
            <w:tcMar>
              <w:top w:w="80" w:type="dxa"/>
              <w:start w:w="120" w:type="dxa"/>
              <w:bottom w:w="80" w:type="dxa"/>
              <w:end w:w="120" w:type="dxa"/>
            </w:tcMar>
          </w:tcPr>
          <w:p>
            <w:pPr>
              <w:spacing w:after="0"/>
            </w:pPr>
            <w:r>
              <w:rPr>
                <w:rFonts w:ascii="Aptos" w:hAnsi="Aptos" w:eastAsia="Aptos"/>
                <w:sz w:val="18"/>
              </w:rPr>
              <w:t>90 min</w:t>
            </w:r>
          </w:p>
        </w:tc>
        <w:tc>
          <w:tcPr>
            <w:tcW w:type="dxa" w:w="6460"/>
            <w:vAlign w:val="top"/>
            <w:tcMar>
              <w:top w:w="80" w:type="dxa"/>
              <w:start w:w="120" w:type="dxa"/>
              <w:bottom w:w="80" w:type="dxa"/>
              <w:end w:w="120" w:type="dxa"/>
            </w:tcMar>
          </w:tcPr>
          <w:p>
            <w:pPr>
              <w:spacing w:after="0"/>
            </w:pPr>
            <w:r>
              <w:rPr>
                <w:rFonts w:ascii="Aptos" w:hAnsi="Aptos" w:eastAsia="Aptos"/>
                <w:sz w:val="18"/>
              </w:rPr>
              <w:t>Analytical/translation task with commentary and sources</w:t>
            </w:r>
          </w:p>
        </w:tc>
      </w:tr>
      <w:tr>
        <w:trPr>
          <w:cantSplit/>
        </w:trPr>
        <w:tc>
          <w:tcPr>
            <w:tcW w:type="dxa" w:w="1600"/>
            <w:vAlign w:val="top"/>
            <w:tcMar>
              <w:top w:w="80" w:type="dxa"/>
              <w:start w:w="120" w:type="dxa"/>
              <w:bottom w:w="80" w:type="dxa"/>
              <w:end w:w="120" w:type="dxa"/>
            </w:tcMar>
          </w:tcPr>
          <w:p>
            <w:pPr>
              <w:spacing w:after="0"/>
            </w:pPr>
            <w:r>
              <w:rPr>
                <w:rFonts w:ascii="Aptos" w:hAnsi="Aptos" w:eastAsia="Aptos"/>
                <w:sz w:val="18"/>
              </w:rPr>
              <w:t>Research/culture</w:t>
            </w:r>
          </w:p>
        </w:tc>
        <w:tc>
          <w:tcPr>
            <w:tcW w:type="dxa" w:w="1300"/>
            <w:vAlign w:val="top"/>
            <w:tcMar>
              <w:top w:w="80" w:type="dxa"/>
              <w:start w:w="120" w:type="dxa"/>
              <w:bottom w:w="80" w:type="dxa"/>
              <w:end w:w="120" w:type="dxa"/>
            </w:tcMar>
          </w:tcPr>
          <w:p>
            <w:pPr>
              <w:spacing w:after="0"/>
            </w:pPr>
            <w:r>
              <w:rPr>
                <w:rFonts w:ascii="Aptos" w:hAnsi="Aptos" w:eastAsia="Aptos"/>
                <w:sz w:val="18"/>
              </w:rPr>
              <w:t>Capstone</w:t>
            </w:r>
          </w:p>
        </w:tc>
        <w:tc>
          <w:tcPr>
            <w:tcW w:type="dxa" w:w="6460"/>
            <w:vAlign w:val="top"/>
            <w:tcMar>
              <w:top w:w="80" w:type="dxa"/>
              <w:start w:w="120" w:type="dxa"/>
              <w:bottom w:w="80" w:type="dxa"/>
              <w:end w:w="120" w:type="dxa"/>
            </w:tcMar>
          </w:tcPr>
          <w:p>
            <w:pPr>
              <w:spacing w:after="0"/>
            </w:pPr>
            <w:r>
              <w:rPr>
                <w:rFonts w:ascii="Aptos" w:hAnsi="Aptos" w:eastAsia="Aptos"/>
                <w:sz w:val="18"/>
              </w:rPr>
              <w:t>Project, portfolio, public summary, and oral defence</w:t>
            </w:r>
          </w:p>
        </w:tc>
      </w:tr>
    </w:tbl>
    <w:p>
      <w:pPr>
        <w:pStyle w:val="Heading1"/>
      </w:pPr>
      <w:r>
        <w:t>Part VII. Assessment and Certification-Shape Evaluation</w:t>
      </w:r>
    </w:p>
    <w:p>
      <w:pPr>
        <w:pStyle w:val="Heading2"/>
      </w:pPr>
      <w:r>
        <w:t>1. Diagnostic before Module 1</w:t>
      </w:r>
    </w:p>
    <w:p>
      <w:r>
        <w:t>The diagnostic does not exclude beginners. It places heritage speakers, receptive bilinguals, and complete beginners on the same evidence grid so that strong listening or speaking does not conceal literacy or tone gaps.</w:t>
      </w:r>
    </w:p>
    <w:tbl>
      <w:tblPr>
        <w:tblStyle w:val="TableGrid"/>
        <w:tblW w:type="dxa" w:w="9360"/>
        <w:jc w:val="left"/>
        <w:tblLayout w:type="fixed"/>
        <w:tblLook w:firstColumn="1" w:firstRow="1" w:lastColumn="0" w:lastRow="0" w:noHBand="0" w:noVBand="1" w:val="04A0"/>
        <w:tblInd w:w="120" w:type="dxa"/>
      </w:tblPr>
      <w:tblGrid>
        <w:gridCol w:w="1500"/>
        <w:gridCol w:w="4270"/>
        <w:gridCol w:w="3590"/>
      </w:tblGrid>
      <w:tr>
        <w:trPr>
          <w:tblHeader w:val="true"/>
          <w:cantSplit/>
        </w:trPr>
        <w:tc>
          <w:tcPr>
            <w:tcW w:type="dxa" w:w="1500"/>
            <w:shd w:fill="E8EEF5"/>
            <w:vAlign w:val="center"/>
            <w:tcMar>
              <w:top w:w="80" w:type="dxa"/>
              <w:start w:w="120" w:type="dxa"/>
              <w:bottom w:w="80" w:type="dxa"/>
              <w:end w:w="120" w:type="dxa"/>
            </w:tcMar>
          </w:tcPr>
          <w:p>
            <w:pPr>
              <w:spacing w:after="0"/>
            </w:pPr>
            <w:r>
              <w:rPr>
                <w:rFonts w:ascii="Aptos" w:hAnsi="Aptos" w:eastAsia="Aptos"/>
                <w:b/>
                <w:color w:val="0B2545"/>
                <w:sz w:val="18"/>
              </w:rPr>
              <w:t>Domain</w:t>
            </w:r>
          </w:p>
        </w:tc>
        <w:tc>
          <w:tcPr>
            <w:tcW w:type="dxa" w:w="4270"/>
            <w:shd w:fill="E8EEF5"/>
            <w:vAlign w:val="center"/>
            <w:tcMar>
              <w:top w:w="80" w:type="dxa"/>
              <w:start w:w="120" w:type="dxa"/>
              <w:bottom w:w="80" w:type="dxa"/>
              <w:end w:w="120" w:type="dxa"/>
            </w:tcMar>
          </w:tcPr>
          <w:p>
            <w:pPr>
              <w:spacing w:after="0"/>
            </w:pPr>
            <w:r>
              <w:rPr>
                <w:rFonts w:ascii="Aptos" w:hAnsi="Aptos" w:eastAsia="Aptos"/>
                <w:b/>
                <w:color w:val="0B2545"/>
                <w:sz w:val="18"/>
              </w:rPr>
              <w:t>Diagnostic task</w:t>
            </w:r>
          </w:p>
        </w:tc>
        <w:tc>
          <w:tcPr>
            <w:tcW w:type="dxa" w:w="3590"/>
            <w:shd w:fill="E8EEF5"/>
            <w:vAlign w:val="center"/>
            <w:tcMar>
              <w:top w:w="80" w:type="dxa"/>
              <w:start w:w="120" w:type="dxa"/>
              <w:bottom w:w="80" w:type="dxa"/>
              <w:end w:w="120" w:type="dxa"/>
            </w:tcMar>
          </w:tcPr>
          <w:p>
            <w:pPr>
              <w:spacing w:after="0"/>
            </w:pPr>
            <w:r>
              <w:rPr>
                <w:rFonts w:ascii="Aptos" w:hAnsi="Aptos" w:eastAsia="Aptos"/>
                <w:b/>
                <w:color w:val="0B2545"/>
                <w:sz w:val="18"/>
              </w:rPr>
              <w:t>Placement use</w:t>
            </w:r>
          </w:p>
        </w:tc>
      </w:tr>
      <w:tr>
        <w:trPr>
          <w:cantSplit/>
        </w:trPr>
        <w:tc>
          <w:tcPr>
            <w:tcW w:type="dxa" w:w="1500"/>
            <w:vAlign w:val="top"/>
            <w:tcMar>
              <w:top w:w="80" w:type="dxa"/>
              <w:start w:w="120" w:type="dxa"/>
              <w:bottom w:w="80" w:type="dxa"/>
              <w:end w:w="120" w:type="dxa"/>
            </w:tcMar>
          </w:tcPr>
          <w:p>
            <w:pPr>
              <w:spacing w:after="0"/>
            </w:pPr>
            <w:r>
              <w:rPr>
                <w:rFonts w:ascii="Aptos" w:hAnsi="Aptos" w:eastAsia="Aptos"/>
                <w:sz w:val="18"/>
              </w:rPr>
              <w:t>Listening</w:t>
            </w:r>
          </w:p>
        </w:tc>
        <w:tc>
          <w:tcPr>
            <w:tcW w:type="dxa" w:w="4270"/>
            <w:vAlign w:val="top"/>
            <w:tcMar>
              <w:top w:w="80" w:type="dxa"/>
              <w:start w:w="120" w:type="dxa"/>
              <w:bottom w:w="80" w:type="dxa"/>
              <w:end w:w="120" w:type="dxa"/>
            </w:tcMar>
          </w:tcPr>
          <w:p>
            <w:pPr>
              <w:spacing w:after="0"/>
            </w:pPr>
            <w:r>
              <w:rPr>
                <w:rFonts w:ascii="Aptos" w:hAnsi="Aptos" w:eastAsia="Aptos"/>
                <w:sz w:val="18"/>
              </w:rPr>
              <w:t>Greetings, personal facts, tone/vowel forced choice</w:t>
            </w:r>
          </w:p>
        </w:tc>
        <w:tc>
          <w:tcPr>
            <w:tcW w:type="dxa" w:w="3590"/>
            <w:vAlign w:val="top"/>
            <w:tcMar>
              <w:top w:w="80" w:type="dxa"/>
              <w:start w:w="120" w:type="dxa"/>
              <w:bottom w:w="80" w:type="dxa"/>
              <w:end w:w="120" w:type="dxa"/>
            </w:tcMar>
          </w:tcPr>
          <w:p>
            <w:pPr>
              <w:spacing w:after="0"/>
            </w:pPr>
            <w:r>
              <w:rPr>
                <w:rFonts w:ascii="Aptos" w:hAnsi="Aptos" w:eastAsia="Aptos"/>
                <w:sz w:val="18"/>
              </w:rPr>
              <w:t>Identify receptive advantage and phonological risk</w:t>
            </w:r>
          </w:p>
        </w:tc>
      </w:tr>
      <w:tr>
        <w:trPr>
          <w:cantSplit/>
        </w:trPr>
        <w:tc>
          <w:tcPr>
            <w:tcW w:type="dxa" w:w="1500"/>
            <w:vAlign w:val="top"/>
            <w:tcMar>
              <w:top w:w="80" w:type="dxa"/>
              <w:start w:w="120" w:type="dxa"/>
              <w:bottom w:w="80" w:type="dxa"/>
              <w:end w:w="120" w:type="dxa"/>
            </w:tcMar>
          </w:tcPr>
          <w:p>
            <w:pPr>
              <w:spacing w:after="0"/>
            </w:pPr>
            <w:r>
              <w:rPr>
                <w:rFonts w:ascii="Aptos" w:hAnsi="Aptos" w:eastAsia="Aptos"/>
                <w:sz w:val="18"/>
              </w:rPr>
              <w:t>Speaking</w:t>
            </w:r>
          </w:p>
        </w:tc>
        <w:tc>
          <w:tcPr>
            <w:tcW w:type="dxa" w:w="4270"/>
            <w:vAlign w:val="top"/>
            <w:tcMar>
              <w:top w:w="80" w:type="dxa"/>
              <w:start w:w="120" w:type="dxa"/>
              <w:bottom w:w="80" w:type="dxa"/>
              <w:end w:w="120" w:type="dxa"/>
            </w:tcMar>
          </w:tcPr>
          <w:p>
            <w:pPr>
              <w:spacing w:after="0"/>
            </w:pPr>
            <w:r>
              <w:rPr>
                <w:rFonts w:ascii="Aptos" w:hAnsi="Aptos" w:eastAsia="Aptos"/>
                <w:sz w:val="18"/>
              </w:rPr>
              <w:t>Self-introduction, picture naming, repetition</w:t>
            </w:r>
          </w:p>
        </w:tc>
        <w:tc>
          <w:tcPr>
            <w:tcW w:type="dxa" w:w="3590"/>
            <w:vAlign w:val="top"/>
            <w:tcMar>
              <w:top w:w="80" w:type="dxa"/>
              <w:start w:w="120" w:type="dxa"/>
              <w:bottom w:w="80" w:type="dxa"/>
              <w:end w:w="120" w:type="dxa"/>
            </w:tcMar>
          </w:tcPr>
          <w:p>
            <w:pPr>
              <w:spacing w:after="0"/>
            </w:pPr>
            <w:r>
              <w:rPr>
                <w:rFonts w:ascii="Aptos" w:hAnsi="Aptos" w:eastAsia="Aptos"/>
                <w:sz w:val="18"/>
              </w:rPr>
              <w:t>Establish intelligibility, tone, and register baseline</w:t>
            </w:r>
          </w:p>
        </w:tc>
      </w:tr>
      <w:tr>
        <w:trPr>
          <w:cantSplit/>
        </w:trPr>
        <w:tc>
          <w:tcPr>
            <w:tcW w:type="dxa" w:w="1500"/>
            <w:vAlign w:val="top"/>
            <w:tcMar>
              <w:top w:w="80" w:type="dxa"/>
              <w:start w:w="120" w:type="dxa"/>
              <w:bottom w:w="80" w:type="dxa"/>
              <w:end w:w="120" w:type="dxa"/>
            </w:tcMar>
          </w:tcPr>
          <w:p>
            <w:pPr>
              <w:spacing w:after="0"/>
            </w:pPr>
            <w:r>
              <w:rPr>
                <w:rFonts w:ascii="Aptos" w:hAnsi="Aptos" w:eastAsia="Aptos"/>
                <w:sz w:val="18"/>
              </w:rPr>
              <w:t>Reading</w:t>
            </w:r>
          </w:p>
        </w:tc>
        <w:tc>
          <w:tcPr>
            <w:tcW w:type="dxa" w:w="4270"/>
            <w:vAlign w:val="top"/>
            <w:tcMar>
              <w:top w:w="80" w:type="dxa"/>
              <w:start w:w="120" w:type="dxa"/>
              <w:bottom w:w="80" w:type="dxa"/>
              <w:end w:w="120" w:type="dxa"/>
            </w:tcMar>
          </w:tcPr>
          <w:p>
            <w:pPr>
              <w:spacing w:after="0"/>
            </w:pPr>
            <w:r>
              <w:rPr>
                <w:rFonts w:ascii="Aptos" w:hAnsi="Aptos" w:eastAsia="Aptos"/>
                <w:sz w:val="18"/>
              </w:rPr>
              <w:t>Letters, marked words, short paragraph</w:t>
            </w:r>
          </w:p>
        </w:tc>
        <w:tc>
          <w:tcPr>
            <w:tcW w:type="dxa" w:w="3590"/>
            <w:vAlign w:val="top"/>
            <w:tcMar>
              <w:top w:w="80" w:type="dxa"/>
              <w:start w:w="120" w:type="dxa"/>
              <w:bottom w:w="80" w:type="dxa"/>
              <w:end w:w="120" w:type="dxa"/>
            </w:tcMar>
          </w:tcPr>
          <w:p>
            <w:pPr>
              <w:spacing w:after="0"/>
            </w:pPr>
            <w:r>
              <w:rPr>
                <w:rFonts w:ascii="Aptos" w:hAnsi="Aptos" w:eastAsia="Aptos"/>
                <w:sz w:val="18"/>
              </w:rPr>
              <w:t>Distinguish oral heritage knowledge from standard literacy</w:t>
            </w:r>
          </w:p>
        </w:tc>
      </w:tr>
      <w:tr>
        <w:trPr>
          <w:cantSplit/>
        </w:trPr>
        <w:tc>
          <w:tcPr>
            <w:tcW w:type="dxa" w:w="1500"/>
            <w:vAlign w:val="top"/>
            <w:tcMar>
              <w:top w:w="80" w:type="dxa"/>
              <w:start w:w="120" w:type="dxa"/>
              <w:bottom w:w="80" w:type="dxa"/>
              <w:end w:w="120" w:type="dxa"/>
            </w:tcMar>
          </w:tcPr>
          <w:p>
            <w:pPr>
              <w:spacing w:after="0"/>
            </w:pPr>
            <w:r>
              <w:rPr>
                <w:rFonts w:ascii="Aptos" w:hAnsi="Aptos" w:eastAsia="Aptos"/>
                <w:sz w:val="18"/>
              </w:rPr>
              <w:t>Writing</w:t>
            </w:r>
          </w:p>
        </w:tc>
        <w:tc>
          <w:tcPr>
            <w:tcW w:type="dxa" w:w="4270"/>
            <w:vAlign w:val="top"/>
            <w:tcMar>
              <w:top w:w="80" w:type="dxa"/>
              <w:start w:w="120" w:type="dxa"/>
              <w:bottom w:w="80" w:type="dxa"/>
              <w:end w:w="120" w:type="dxa"/>
            </w:tcMar>
          </w:tcPr>
          <w:p>
            <w:pPr>
              <w:spacing w:after="0"/>
            </w:pPr>
            <w:r>
              <w:rPr>
                <w:rFonts w:ascii="Aptos" w:hAnsi="Aptos" w:eastAsia="Aptos"/>
                <w:sz w:val="18"/>
              </w:rPr>
              <w:t>Keyboard/handwriting, dictation, 5-8 sentences if possible</w:t>
            </w:r>
          </w:p>
        </w:tc>
        <w:tc>
          <w:tcPr>
            <w:tcW w:type="dxa" w:w="3590"/>
            <w:vAlign w:val="top"/>
            <w:tcMar>
              <w:top w:w="80" w:type="dxa"/>
              <w:start w:w="120" w:type="dxa"/>
              <w:bottom w:w="80" w:type="dxa"/>
              <w:end w:w="120" w:type="dxa"/>
            </w:tcMar>
          </w:tcPr>
          <w:p>
            <w:pPr>
              <w:spacing w:after="0"/>
            </w:pPr>
            <w:r>
              <w:rPr>
                <w:rFonts w:ascii="Aptos" w:hAnsi="Aptos" w:eastAsia="Aptos"/>
                <w:sz w:val="18"/>
              </w:rPr>
              <w:t>Plan orthography and typing support</w:t>
            </w:r>
          </w:p>
        </w:tc>
      </w:tr>
      <w:tr>
        <w:trPr>
          <w:cantSplit/>
        </w:trPr>
        <w:tc>
          <w:tcPr>
            <w:tcW w:type="dxa" w:w="1500"/>
            <w:vAlign w:val="top"/>
            <w:tcMar>
              <w:top w:w="80" w:type="dxa"/>
              <w:start w:w="120" w:type="dxa"/>
              <w:bottom w:w="80" w:type="dxa"/>
              <w:end w:w="120" w:type="dxa"/>
            </w:tcMar>
          </w:tcPr>
          <w:p>
            <w:pPr>
              <w:spacing w:after="0"/>
            </w:pPr>
            <w:r>
              <w:rPr>
                <w:rFonts w:ascii="Aptos" w:hAnsi="Aptos" w:eastAsia="Aptos"/>
                <w:sz w:val="18"/>
              </w:rPr>
              <w:t>Culture/register</w:t>
            </w:r>
          </w:p>
        </w:tc>
        <w:tc>
          <w:tcPr>
            <w:tcW w:type="dxa" w:w="4270"/>
            <w:vAlign w:val="top"/>
            <w:tcMar>
              <w:top w:w="80" w:type="dxa"/>
              <w:start w:w="120" w:type="dxa"/>
              <w:bottom w:w="80" w:type="dxa"/>
              <w:end w:w="120" w:type="dxa"/>
            </w:tcMar>
          </w:tcPr>
          <w:p>
            <w:pPr>
              <w:spacing w:after="0"/>
            </w:pPr>
            <w:r>
              <w:rPr>
                <w:rFonts w:ascii="Aptos" w:hAnsi="Aptos" w:eastAsia="Aptos"/>
                <w:sz w:val="18"/>
              </w:rPr>
              <w:t>Greeting/honorific scenarios</w:t>
            </w:r>
          </w:p>
        </w:tc>
        <w:tc>
          <w:tcPr>
            <w:tcW w:type="dxa" w:w="3590"/>
            <w:vAlign w:val="top"/>
            <w:tcMar>
              <w:top w:w="80" w:type="dxa"/>
              <w:start w:w="120" w:type="dxa"/>
              <w:bottom w:w="80" w:type="dxa"/>
              <w:end w:w="120" w:type="dxa"/>
            </w:tcMar>
          </w:tcPr>
          <w:p>
            <w:pPr>
              <w:spacing w:after="0"/>
            </w:pPr>
            <w:r>
              <w:rPr>
                <w:rFonts w:ascii="Aptos" w:hAnsi="Aptos" w:eastAsia="Aptos"/>
                <w:sz w:val="18"/>
              </w:rPr>
              <w:t>Detect knowledge that may not transfer to productive language</w:t>
            </w:r>
          </w:p>
        </w:tc>
      </w:tr>
    </w:tbl>
    <w:p>
      <w:pPr>
        <w:pStyle w:val="Heading2"/>
      </w:pPr>
      <w:r>
        <w:t>2. Speaking rubric</w:t>
      </w:r>
    </w:p>
    <w:tbl>
      <w:tblPr>
        <w:tblStyle w:val="TableGrid"/>
        <w:tblW w:type="dxa" w:w="9360"/>
        <w:jc w:val="left"/>
        <w:tblLayout w:type="fixed"/>
        <w:tblLook w:firstColumn="1" w:firstRow="1" w:lastColumn="0" w:lastRow="0" w:noHBand="0" w:noVBand="1" w:val="04A0"/>
        <w:tblInd w:w="120" w:type="dxa"/>
      </w:tblPr>
      <w:tblGrid>
        <w:gridCol w:w="1150"/>
        <w:gridCol w:w="2250"/>
        <w:gridCol w:w="2150"/>
        <w:gridCol w:w="2000"/>
        <w:gridCol w:w="1810"/>
      </w:tblGrid>
      <w:tr>
        <w:trPr>
          <w:tblHeader w:val="true"/>
          <w:cantSplit/>
        </w:trPr>
        <w:tc>
          <w:tcPr>
            <w:tcW w:type="dxa" w:w="1150"/>
            <w:shd w:fill="E8EEF5"/>
            <w:vAlign w:val="center"/>
            <w:tcMar>
              <w:top w:w="80" w:type="dxa"/>
              <w:start w:w="120" w:type="dxa"/>
              <w:bottom w:w="80" w:type="dxa"/>
              <w:end w:w="120" w:type="dxa"/>
            </w:tcMar>
          </w:tcPr>
          <w:p>
            <w:pPr>
              <w:spacing w:after="0"/>
            </w:pPr>
            <w:r>
              <w:rPr>
                <w:rFonts w:ascii="Aptos" w:hAnsi="Aptos" w:eastAsia="Aptos"/>
                <w:b/>
                <w:color w:val="0B2545"/>
                <w:sz w:val="15"/>
              </w:rPr>
              <w:t>Band</w:t>
            </w:r>
          </w:p>
        </w:tc>
        <w:tc>
          <w:tcPr>
            <w:tcW w:type="dxa" w:w="2250"/>
            <w:shd w:fill="E8EEF5"/>
            <w:vAlign w:val="center"/>
            <w:tcMar>
              <w:top w:w="80" w:type="dxa"/>
              <w:start w:w="120" w:type="dxa"/>
              <w:bottom w:w="80" w:type="dxa"/>
              <w:end w:w="120" w:type="dxa"/>
            </w:tcMar>
          </w:tcPr>
          <w:p>
            <w:pPr>
              <w:spacing w:after="0"/>
            </w:pPr>
            <w:r>
              <w:rPr>
                <w:rFonts w:ascii="Aptos" w:hAnsi="Aptos" w:eastAsia="Aptos"/>
                <w:b/>
                <w:color w:val="0B2545"/>
                <w:sz w:val="15"/>
              </w:rPr>
              <w:t>Task completion &amp; discourse</w:t>
            </w:r>
          </w:p>
        </w:tc>
        <w:tc>
          <w:tcPr>
            <w:tcW w:type="dxa" w:w="2150"/>
            <w:shd w:fill="E8EEF5"/>
            <w:vAlign w:val="center"/>
            <w:tcMar>
              <w:top w:w="80" w:type="dxa"/>
              <w:start w:w="120" w:type="dxa"/>
              <w:bottom w:w="80" w:type="dxa"/>
              <w:end w:w="120" w:type="dxa"/>
            </w:tcMar>
          </w:tcPr>
          <w:p>
            <w:pPr>
              <w:spacing w:after="0"/>
            </w:pPr>
            <w:r>
              <w:rPr>
                <w:rFonts w:ascii="Aptos" w:hAnsi="Aptos" w:eastAsia="Aptos"/>
                <w:b/>
                <w:color w:val="0B2545"/>
                <w:sz w:val="15"/>
              </w:rPr>
              <w:t>Pronunciation &amp; tone</w:t>
            </w:r>
          </w:p>
        </w:tc>
        <w:tc>
          <w:tcPr>
            <w:tcW w:type="dxa" w:w="2000"/>
            <w:shd w:fill="E8EEF5"/>
            <w:vAlign w:val="center"/>
            <w:tcMar>
              <w:top w:w="80" w:type="dxa"/>
              <w:start w:w="120" w:type="dxa"/>
              <w:bottom w:w="80" w:type="dxa"/>
              <w:end w:w="120" w:type="dxa"/>
            </w:tcMar>
          </w:tcPr>
          <w:p>
            <w:pPr>
              <w:spacing w:after="0"/>
            </w:pPr>
            <w:r>
              <w:rPr>
                <w:rFonts w:ascii="Aptos" w:hAnsi="Aptos" w:eastAsia="Aptos"/>
                <w:b/>
                <w:color w:val="0B2545"/>
                <w:sz w:val="15"/>
              </w:rPr>
              <w:t>Grammar &amp; vocabulary</w:t>
            </w:r>
          </w:p>
        </w:tc>
        <w:tc>
          <w:tcPr>
            <w:tcW w:type="dxa" w:w="1810"/>
            <w:shd w:fill="E8EEF5"/>
            <w:vAlign w:val="center"/>
            <w:tcMar>
              <w:top w:w="80" w:type="dxa"/>
              <w:start w:w="120" w:type="dxa"/>
              <w:bottom w:w="80" w:type="dxa"/>
              <w:end w:w="120" w:type="dxa"/>
            </w:tcMar>
          </w:tcPr>
          <w:p>
            <w:pPr>
              <w:spacing w:after="0"/>
            </w:pPr>
            <w:r>
              <w:rPr>
                <w:rFonts w:ascii="Aptos" w:hAnsi="Aptos" w:eastAsia="Aptos"/>
                <w:b/>
                <w:color w:val="0B2545"/>
                <w:sz w:val="15"/>
              </w:rPr>
              <w:t>Register &amp; interaction</w:t>
            </w:r>
          </w:p>
        </w:tc>
      </w:tr>
      <w:tr>
        <w:trPr>
          <w:cantSplit/>
        </w:trPr>
        <w:tc>
          <w:tcPr>
            <w:tcW w:type="dxa" w:w="1150"/>
            <w:vAlign w:val="top"/>
            <w:tcMar>
              <w:top w:w="80" w:type="dxa"/>
              <w:start w:w="120" w:type="dxa"/>
              <w:bottom w:w="80" w:type="dxa"/>
              <w:end w:w="120" w:type="dxa"/>
            </w:tcMar>
          </w:tcPr>
          <w:p>
            <w:pPr>
              <w:spacing w:after="0"/>
            </w:pPr>
            <w:r>
              <w:rPr>
                <w:rFonts w:ascii="Aptos" w:hAnsi="Aptos" w:eastAsia="Aptos"/>
                <w:sz w:val="15"/>
              </w:rPr>
              <w:t>Novice</w:t>
            </w:r>
          </w:p>
        </w:tc>
        <w:tc>
          <w:tcPr>
            <w:tcW w:type="dxa" w:w="2250"/>
            <w:vAlign w:val="top"/>
            <w:tcMar>
              <w:top w:w="80" w:type="dxa"/>
              <w:start w:w="120" w:type="dxa"/>
              <w:bottom w:w="80" w:type="dxa"/>
              <w:end w:w="120" w:type="dxa"/>
            </w:tcMar>
          </w:tcPr>
          <w:p>
            <w:pPr>
              <w:spacing w:after="0"/>
            </w:pPr>
            <w:r>
              <w:rPr>
                <w:rFonts w:ascii="Aptos" w:hAnsi="Aptos" w:eastAsia="Aptos"/>
                <w:sz w:val="15"/>
              </w:rPr>
              <w:t>Words/formulae and short rehearsed sentences; frequent support</w:t>
            </w:r>
          </w:p>
        </w:tc>
        <w:tc>
          <w:tcPr>
            <w:tcW w:type="dxa" w:w="2150"/>
            <w:vAlign w:val="top"/>
            <w:tcMar>
              <w:top w:w="80" w:type="dxa"/>
              <w:start w:w="120" w:type="dxa"/>
              <w:bottom w:w="80" w:type="dxa"/>
              <w:end w:w="120" w:type="dxa"/>
            </w:tcMar>
          </w:tcPr>
          <w:p>
            <w:pPr>
              <w:spacing w:after="0"/>
            </w:pPr>
            <w:r>
              <w:rPr>
                <w:rFonts w:ascii="Aptos" w:hAnsi="Aptos" w:eastAsia="Aptos"/>
                <w:sz w:val="15"/>
              </w:rPr>
              <w:t>Some target sounds/tones; meaning-changing errors frequent</w:t>
            </w:r>
          </w:p>
        </w:tc>
        <w:tc>
          <w:tcPr>
            <w:tcW w:type="dxa" w:w="2000"/>
            <w:vAlign w:val="top"/>
            <w:tcMar>
              <w:top w:w="80" w:type="dxa"/>
              <w:start w:w="120" w:type="dxa"/>
              <w:bottom w:w="80" w:type="dxa"/>
              <w:end w:w="120" w:type="dxa"/>
            </w:tcMar>
          </w:tcPr>
          <w:p>
            <w:pPr>
              <w:spacing w:after="0"/>
            </w:pPr>
            <w:r>
              <w:rPr>
                <w:rFonts w:ascii="Aptos" w:hAnsi="Aptos" w:eastAsia="Aptos"/>
                <w:sz w:val="15"/>
              </w:rPr>
              <w:t>Small memorized range</w:t>
            </w:r>
          </w:p>
        </w:tc>
        <w:tc>
          <w:tcPr>
            <w:tcW w:type="dxa" w:w="1810"/>
            <w:vAlign w:val="top"/>
            <w:tcMar>
              <w:top w:w="80" w:type="dxa"/>
              <w:start w:w="120" w:type="dxa"/>
              <w:bottom w:w="80" w:type="dxa"/>
              <w:end w:w="120" w:type="dxa"/>
            </w:tcMar>
          </w:tcPr>
          <w:p>
            <w:pPr>
              <w:spacing w:after="0"/>
            </w:pPr>
            <w:r>
              <w:rPr>
                <w:rFonts w:ascii="Aptos" w:hAnsi="Aptos" w:eastAsia="Aptos"/>
                <w:sz w:val="15"/>
              </w:rPr>
              <w:t>Basic greeting choices with prompts</w:t>
            </w:r>
          </w:p>
        </w:tc>
      </w:tr>
      <w:tr>
        <w:trPr>
          <w:cantSplit/>
        </w:trPr>
        <w:tc>
          <w:tcPr>
            <w:tcW w:type="dxa" w:w="1150"/>
            <w:vAlign w:val="top"/>
            <w:tcMar>
              <w:top w:w="80" w:type="dxa"/>
              <w:start w:w="120" w:type="dxa"/>
              <w:bottom w:w="80" w:type="dxa"/>
              <w:end w:w="120" w:type="dxa"/>
            </w:tcMar>
          </w:tcPr>
          <w:p>
            <w:pPr>
              <w:spacing w:after="0"/>
            </w:pPr>
            <w:r>
              <w:rPr>
                <w:rFonts w:ascii="Aptos" w:hAnsi="Aptos" w:eastAsia="Aptos"/>
                <w:sz w:val="15"/>
              </w:rPr>
              <w:t>Novice High / A1+</w:t>
            </w:r>
          </w:p>
        </w:tc>
        <w:tc>
          <w:tcPr>
            <w:tcW w:type="dxa" w:w="2250"/>
            <w:vAlign w:val="top"/>
            <w:tcMar>
              <w:top w:w="80" w:type="dxa"/>
              <w:start w:w="120" w:type="dxa"/>
              <w:bottom w:w="80" w:type="dxa"/>
              <w:end w:w="120" w:type="dxa"/>
            </w:tcMar>
          </w:tcPr>
          <w:p>
            <w:pPr>
              <w:spacing w:after="0"/>
            </w:pPr>
            <w:r>
              <w:rPr>
                <w:rFonts w:ascii="Aptos" w:hAnsi="Aptos" w:eastAsia="Aptos"/>
                <w:sz w:val="15"/>
              </w:rPr>
              <w:t>Short exchanges and lists of sentences on familiar topics</w:t>
            </w:r>
          </w:p>
        </w:tc>
        <w:tc>
          <w:tcPr>
            <w:tcW w:type="dxa" w:w="2150"/>
            <w:vAlign w:val="top"/>
            <w:tcMar>
              <w:top w:w="80" w:type="dxa"/>
              <w:start w:w="120" w:type="dxa"/>
              <w:bottom w:w="80" w:type="dxa"/>
              <w:end w:w="120" w:type="dxa"/>
            </w:tcMar>
          </w:tcPr>
          <w:p>
            <w:pPr>
              <w:spacing w:after="0"/>
            </w:pPr>
            <w:r>
              <w:rPr>
                <w:rFonts w:ascii="Aptos" w:hAnsi="Aptos" w:eastAsia="Aptos"/>
                <w:sz w:val="15"/>
              </w:rPr>
              <w:t>Generally intelligible to a supportive listener; tone uneven</w:t>
            </w:r>
          </w:p>
        </w:tc>
        <w:tc>
          <w:tcPr>
            <w:tcW w:type="dxa" w:w="2000"/>
            <w:vAlign w:val="top"/>
            <w:tcMar>
              <w:top w:w="80" w:type="dxa"/>
              <w:start w:w="120" w:type="dxa"/>
              <w:bottom w:w="80" w:type="dxa"/>
              <w:end w:w="120" w:type="dxa"/>
            </w:tcMar>
          </w:tcPr>
          <w:p>
            <w:pPr>
              <w:spacing w:after="0"/>
            </w:pPr>
            <w:r>
              <w:rPr>
                <w:rFonts w:ascii="Aptos" w:hAnsi="Aptos" w:eastAsia="Aptos"/>
                <w:sz w:val="15"/>
              </w:rPr>
              <w:t>Core frames with recurring errors</w:t>
            </w:r>
          </w:p>
        </w:tc>
        <w:tc>
          <w:tcPr>
            <w:tcW w:type="dxa" w:w="1810"/>
            <w:vAlign w:val="top"/>
            <w:tcMar>
              <w:top w:w="80" w:type="dxa"/>
              <w:start w:w="120" w:type="dxa"/>
              <w:bottom w:w="80" w:type="dxa"/>
              <w:end w:w="120" w:type="dxa"/>
            </w:tcMar>
          </w:tcPr>
          <w:p>
            <w:pPr>
              <w:spacing w:after="0"/>
            </w:pPr>
            <w:r>
              <w:rPr>
                <w:rFonts w:ascii="Aptos" w:hAnsi="Aptos" w:eastAsia="Aptos"/>
                <w:sz w:val="15"/>
              </w:rPr>
              <w:t>Some independent honorific choice and repair</w:t>
            </w:r>
          </w:p>
        </w:tc>
      </w:tr>
      <w:tr>
        <w:trPr>
          <w:cantSplit/>
        </w:trPr>
        <w:tc>
          <w:tcPr>
            <w:tcW w:type="dxa" w:w="1150"/>
            <w:vAlign w:val="top"/>
            <w:tcMar>
              <w:top w:w="80" w:type="dxa"/>
              <w:start w:w="120" w:type="dxa"/>
              <w:bottom w:w="80" w:type="dxa"/>
              <w:end w:w="120" w:type="dxa"/>
            </w:tcMar>
          </w:tcPr>
          <w:p>
            <w:pPr>
              <w:spacing w:after="0"/>
            </w:pPr>
            <w:r>
              <w:rPr>
                <w:rFonts w:ascii="Aptos" w:hAnsi="Aptos" w:eastAsia="Aptos"/>
                <w:sz w:val="15"/>
              </w:rPr>
              <w:t>Intermediate / A2-B1</w:t>
            </w:r>
          </w:p>
        </w:tc>
        <w:tc>
          <w:tcPr>
            <w:tcW w:type="dxa" w:w="2250"/>
            <w:vAlign w:val="top"/>
            <w:tcMar>
              <w:top w:w="80" w:type="dxa"/>
              <w:start w:w="120" w:type="dxa"/>
              <w:bottom w:w="80" w:type="dxa"/>
              <w:end w:w="120" w:type="dxa"/>
            </w:tcMar>
          </w:tcPr>
          <w:p>
            <w:pPr>
              <w:spacing w:after="0"/>
            </w:pPr>
            <w:r>
              <w:rPr>
                <w:rFonts w:ascii="Aptos" w:hAnsi="Aptos" w:eastAsia="Aptos"/>
                <w:sz w:val="15"/>
              </w:rPr>
              <w:t>Connected sentences; handles predictable complications</w:t>
            </w:r>
          </w:p>
        </w:tc>
        <w:tc>
          <w:tcPr>
            <w:tcW w:type="dxa" w:w="2150"/>
            <w:vAlign w:val="top"/>
            <w:tcMar>
              <w:top w:w="80" w:type="dxa"/>
              <w:start w:w="120" w:type="dxa"/>
              <w:bottom w:w="80" w:type="dxa"/>
              <w:end w:w="120" w:type="dxa"/>
            </w:tcMar>
          </w:tcPr>
          <w:p>
            <w:pPr>
              <w:spacing w:after="0"/>
            </w:pPr>
            <w:r>
              <w:rPr>
                <w:rFonts w:ascii="Aptos" w:hAnsi="Aptos" w:eastAsia="Aptos"/>
                <w:sz w:val="15"/>
              </w:rPr>
              <w:t>Intelligible; meaning-bearing tone contrasts usually maintained</w:t>
            </w:r>
          </w:p>
        </w:tc>
        <w:tc>
          <w:tcPr>
            <w:tcW w:type="dxa" w:w="2000"/>
            <w:vAlign w:val="top"/>
            <w:tcMar>
              <w:top w:w="80" w:type="dxa"/>
              <w:start w:w="120" w:type="dxa"/>
              <w:bottom w:w="80" w:type="dxa"/>
              <w:end w:w="120" w:type="dxa"/>
            </w:tcMar>
          </w:tcPr>
          <w:p>
            <w:pPr>
              <w:spacing w:after="0"/>
            </w:pPr>
            <w:r>
              <w:rPr>
                <w:rFonts w:ascii="Aptos" w:hAnsi="Aptos" w:eastAsia="Aptos"/>
                <w:sz w:val="15"/>
              </w:rPr>
              <w:t>Productive aspect/questions/negation and growing range</w:t>
            </w:r>
          </w:p>
        </w:tc>
        <w:tc>
          <w:tcPr>
            <w:tcW w:type="dxa" w:w="1810"/>
            <w:vAlign w:val="top"/>
            <w:tcMar>
              <w:top w:w="80" w:type="dxa"/>
              <w:start w:w="120" w:type="dxa"/>
              <w:bottom w:w="80" w:type="dxa"/>
              <w:end w:w="120" w:type="dxa"/>
            </w:tcMar>
          </w:tcPr>
          <w:p>
            <w:pPr>
              <w:spacing w:after="0"/>
            </w:pPr>
            <w:r>
              <w:rPr>
                <w:rFonts w:ascii="Aptos" w:hAnsi="Aptos" w:eastAsia="Aptos"/>
                <w:sz w:val="15"/>
              </w:rPr>
              <w:t>Appropriate openings/closings and clarification</w:t>
            </w:r>
          </w:p>
        </w:tc>
      </w:tr>
      <w:tr>
        <w:trPr>
          <w:cantSplit/>
        </w:trPr>
        <w:tc>
          <w:tcPr>
            <w:tcW w:type="dxa" w:w="1150"/>
            <w:vAlign w:val="top"/>
            <w:tcMar>
              <w:top w:w="80" w:type="dxa"/>
              <w:start w:w="120" w:type="dxa"/>
              <w:bottom w:w="80" w:type="dxa"/>
              <w:end w:w="120" w:type="dxa"/>
            </w:tcMar>
          </w:tcPr>
          <w:p>
            <w:pPr>
              <w:spacing w:after="0"/>
            </w:pPr>
            <w:r>
              <w:rPr>
                <w:rFonts w:ascii="Aptos" w:hAnsi="Aptos" w:eastAsia="Aptos"/>
                <w:sz w:val="15"/>
              </w:rPr>
              <w:t>Upper Intermediate / B2</w:t>
            </w:r>
          </w:p>
        </w:tc>
        <w:tc>
          <w:tcPr>
            <w:tcW w:type="dxa" w:w="2250"/>
            <w:vAlign w:val="top"/>
            <w:tcMar>
              <w:top w:w="80" w:type="dxa"/>
              <w:start w:w="120" w:type="dxa"/>
              <w:bottom w:w="80" w:type="dxa"/>
              <w:end w:w="120" w:type="dxa"/>
            </w:tcMar>
          </w:tcPr>
          <w:p>
            <w:pPr>
              <w:spacing w:after="0"/>
            </w:pPr>
            <w:r>
              <w:rPr>
                <w:rFonts w:ascii="Aptos" w:hAnsi="Aptos" w:eastAsia="Aptos"/>
                <w:sz w:val="15"/>
              </w:rPr>
              <w:t>Organized narration, explanation, and supported opinion</w:t>
            </w:r>
          </w:p>
        </w:tc>
        <w:tc>
          <w:tcPr>
            <w:tcW w:type="dxa" w:w="2150"/>
            <w:vAlign w:val="top"/>
            <w:tcMar>
              <w:top w:w="80" w:type="dxa"/>
              <w:start w:w="120" w:type="dxa"/>
              <w:bottom w:w="80" w:type="dxa"/>
              <w:end w:w="120" w:type="dxa"/>
            </w:tcMar>
          </w:tcPr>
          <w:p>
            <w:pPr>
              <w:spacing w:after="0"/>
            </w:pPr>
            <w:r>
              <w:rPr>
                <w:rFonts w:ascii="Aptos" w:hAnsi="Aptos" w:eastAsia="Aptos"/>
                <w:sz w:val="15"/>
              </w:rPr>
              <w:t>Stable segment and tone control; connected-speech variation managed</w:t>
            </w:r>
          </w:p>
        </w:tc>
        <w:tc>
          <w:tcPr>
            <w:tcW w:type="dxa" w:w="2000"/>
            <w:vAlign w:val="top"/>
            <w:tcMar>
              <w:top w:w="80" w:type="dxa"/>
              <w:start w:w="120" w:type="dxa"/>
              <w:bottom w:w="80" w:type="dxa"/>
              <w:end w:w="120" w:type="dxa"/>
            </w:tcMar>
          </w:tcPr>
          <w:p>
            <w:pPr>
              <w:spacing w:after="0"/>
            </w:pPr>
            <w:r>
              <w:rPr>
                <w:rFonts w:ascii="Aptos" w:hAnsi="Aptos" w:eastAsia="Aptos"/>
                <w:sz w:val="15"/>
              </w:rPr>
              <w:t>Complex clauses and discourse devices with occasional strain</w:t>
            </w:r>
          </w:p>
        </w:tc>
        <w:tc>
          <w:tcPr>
            <w:tcW w:type="dxa" w:w="1810"/>
            <w:vAlign w:val="top"/>
            <w:tcMar>
              <w:top w:w="80" w:type="dxa"/>
              <w:start w:w="120" w:type="dxa"/>
              <w:bottom w:w="80" w:type="dxa"/>
              <w:end w:w="120" w:type="dxa"/>
            </w:tcMar>
          </w:tcPr>
          <w:p>
            <w:pPr>
              <w:spacing w:after="0"/>
            </w:pPr>
            <w:r>
              <w:rPr>
                <w:rFonts w:ascii="Aptos" w:hAnsi="Aptos" w:eastAsia="Aptos"/>
                <w:sz w:val="15"/>
              </w:rPr>
              <w:t>Adjusts register and sustains interaction</w:t>
            </w:r>
          </w:p>
        </w:tc>
      </w:tr>
      <w:tr>
        <w:trPr>
          <w:cantSplit/>
        </w:trPr>
        <w:tc>
          <w:tcPr>
            <w:tcW w:type="dxa" w:w="1150"/>
            <w:vAlign w:val="top"/>
            <w:tcMar>
              <w:top w:w="80" w:type="dxa"/>
              <w:start w:w="120" w:type="dxa"/>
              <w:bottom w:w="80" w:type="dxa"/>
              <w:end w:w="120" w:type="dxa"/>
            </w:tcMar>
          </w:tcPr>
          <w:p>
            <w:pPr>
              <w:spacing w:after="0"/>
            </w:pPr>
            <w:r>
              <w:rPr>
                <w:rFonts w:ascii="Aptos" w:hAnsi="Aptos" w:eastAsia="Aptos"/>
                <w:sz w:val="15"/>
              </w:rPr>
              <w:t>Advanced / C1-C2-oriented</w:t>
            </w:r>
          </w:p>
        </w:tc>
        <w:tc>
          <w:tcPr>
            <w:tcW w:type="dxa" w:w="2250"/>
            <w:vAlign w:val="top"/>
            <w:tcMar>
              <w:top w:w="80" w:type="dxa"/>
              <w:start w:w="120" w:type="dxa"/>
              <w:bottom w:w="80" w:type="dxa"/>
              <w:end w:w="120" w:type="dxa"/>
            </w:tcMar>
          </w:tcPr>
          <w:p>
            <w:pPr>
              <w:spacing w:after="0"/>
            </w:pPr>
            <w:r>
              <w:rPr>
                <w:rFonts w:ascii="Aptos" w:hAnsi="Aptos" w:eastAsia="Aptos"/>
                <w:sz w:val="15"/>
              </w:rPr>
              <w:t>Extended, precise, audience-aware discourse; defends and revises analysis</w:t>
            </w:r>
          </w:p>
        </w:tc>
        <w:tc>
          <w:tcPr>
            <w:tcW w:type="dxa" w:w="2150"/>
            <w:vAlign w:val="top"/>
            <w:tcMar>
              <w:top w:w="80" w:type="dxa"/>
              <w:start w:w="120" w:type="dxa"/>
              <w:bottom w:w="80" w:type="dxa"/>
              <w:end w:w="120" w:type="dxa"/>
            </w:tcMar>
          </w:tcPr>
          <w:p>
            <w:pPr>
              <w:spacing w:after="0"/>
            </w:pPr>
            <w:r>
              <w:rPr>
                <w:rFonts w:ascii="Aptos" w:hAnsi="Aptos" w:eastAsia="Aptos"/>
                <w:sz w:val="15"/>
              </w:rPr>
              <w:t>High control without erasing legitimate speaker variation</w:t>
            </w:r>
          </w:p>
        </w:tc>
        <w:tc>
          <w:tcPr>
            <w:tcW w:type="dxa" w:w="2000"/>
            <w:vAlign w:val="top"/>
            <w:tcMar>
              <w:top w:w="80" w:type="dxa"/>
              <w:start w:w="120" w:type="dxa"/>
              <w:bottom w:w="80" w:type="dxa"/>
              <w:end w:w="120" w:type="dxa"/>
            </w:tcMar>
          </w:tcPr>
          <w:p>
            <w:pPr>
              <w:spacing w:after="0"/>
            </w:pPr>
            <w:r>
              <w:rPr>
                <w:rFonts w:ascii="Aptos" w:hAnsi="Aptos" w:eastAsia="Aptos"/>
                <w:sz w:val="15"/>
              </w:rPr>
              <w:t>Flexible syntax, terminology, and stylistic choice</w:t>
            </w:r>
          </w:p>
        </w:tc>
        <w:tc>
          <w:tcPr>
            <w:tcW w:type="dxa" w:w="1810"/>
            <w:vAlign w:val="top"/>
            <w:tcMar>
              <w:top w:w="80" w:type="dxa"/>
              <w:start w:w="120" w:type="dxa"/>
              <w:bottom w:w="80" w:type="dxa"/>
              <w:end w:w="120" w:type="dxa"/>
            </w:tcMar>
          </w:tcPr>
          <w:p>
            <w:pPr>
              <w:spacing w:after="0"/>
            </w:pPr>
            <w:r>
              <w:rPr>
                <w:rFonts w:ascii="Aptos" w:hAnsi="Aptos" w:eastAsia="Aptos"/>
                <w:sz w:val="15"/>
              </w:rPr>
              <w:t>Mediates, interprets, repairs, qualifies claims, and responds to expert challenge</w:t>
            </w:r>
          </w:p>
        </w:tc>
      </w:tr>
    </w:tbl>
    <w:p>
      <w:pPr>
        <w:pStyle w:val="Heading2"/>
      </w:pPr>
      <w:r>
        <w:t>3. Writing rubric</w:t>
      </w:r>
    </w:p>
    <w:tbl>
      <w:tblPr>
        <w:tblStyle w:val="TableGrid"/>
        <w:tblW w:type="dxa" w:w="9360"/>
        <w:jc w:val="left"/>
        <w:tblLayout w:type="fixed"/>
        <w:tblLook w:firstColumn="1" w:firstRow="1" w:lastColumn="0" w:lastRow="0" w:noHBand="0" w:noVBand="1" w:val="04A0"/>
        <w:tblInd w:w="120" w:type="dxa"/>
      </w:tblPr>
      <w:tblGrid>
        <w:gridCol w:w="1100"/>
        <w:gridCol w:w="2300"/>
        <w:gridCol w:w="2200"/>
        <w:gridCol w:w="2000"/>
        <w:gridCol w:w="1760"/>
      </w:tblGrid>
      <w:tr>
        <w:trPr>
          <w:tblHeader w:val="true"/>
          <w:cantSplit/>
        </w:trPr>
        <w:tc>
          <w:tcPr>
            <w:tcW w:type="dxa" w:w="1100"/>
            <w:shd w:fill="E8EEF5"/>
            <w:vAlign w:val="center"/>
            <w:tcMar>
              <w:top w:w="80" w:type="dxa"/>
              <w:start w:w="120" w:type="dxa"/>
              <w:bottom w:w="80" w:type="dxa"/>
              <w:end w:w="120" w:type="dxa"/>
            </w:tcMar>
          </w:tcPr>
          <w:p>
            <w:pPr>
              <w:spacing w:after="0"/>
            </w:pPr>
            <w:r>
              <w:rPr>
                <w:rFonts w:ascii="Aptos" w:hAnsi="Aptos" w:eastAsia="Aptos"/>
                <w:b/>
                <w:color w:val="0B2545"/>
                <w:sz w:val="16"/>
              </w:rPr>
              <w:t>Band</w:t>
            </w:r>
          </w:p>
        </w:tc>
        <w:tc>
          <w:tcPr>
            <w:tcW w:type="dxa" w:w="2300"/>
            <w:shd w:fill="E8EEF5"/>
            <w:vAlign w:val="center"/>
            <w:tcMar>
              <w:top w:w="80" w:type="dxa"/>
              <w:start w:w="120" w:type="dxa"/>
              <w:bottom w:w="80" w:type="dxa"/>
              <w:end w:w="120" w:type="dxa"/>
            </w:tcMar>
          </w:tcPr>
          <w:p>
            <w:pPr>
              <w:spacing w:after="0"/>
            </w:pPr>
            <w:r>
              <w:rPr>
                <w:rFonts w:ascii="Aptos" w:hAnsi="Aptos" w:eastAsia="Aptos"/>
                <w:b/>
                <w:color w:val="0B2545"/>
                <w:sz w:val="16"/>
              </w:rPr>
              <w:t>Purpose &amp; organization</w:t>
            </w:r>
          </w:p>
        </w:tc>
        <w:tc>
          <w:tcPr>
            <w:tcW w:type="dxa" w:w="2200"/>
            <w:shd w:fill="E8EEF5"/>
            <w:vAlign w:val="center"/>
            <w:tcMar>
              <w:top w:w="80" w:type="dxa"/>
              <w:start w:w="120" w:type="dxa"/>
              <w:bottom w:w="80" w:type="dxa"/>
              <w:end w:w="120" w:type="dxa"/>
            </w:tcMar>
          </w:tcPr>
          <w:p>
            <w:pPr>
              <w:spacing w:after="0"/>
            </w:pPr>
            <w:r>
              <w:rPr>
                <w:rFonts w:ascii="Aptos" w:hAnsi="Aptos" w:eastAsia="Aptos"/>
                <w:b/>
                <w:color w:val="0B2545"/>
                <w:sz w:val="16"/>
              </w:rPr>
              <w:t>Orthography &amp; tone</w:t>
            </w:r>
          </w:p>
        </w:tc>
        <w:tc>
          <w:tcPr>
            <w:tcW w:type="dxa" w:w="2000"/>
            <w:shd w:fill="E8EEF5"/>
            <w:vAlign w:val="center"/>
            <w:tcMar>
              <w:top w:w="80" w:type="dxa"/>
              <w:start w:w="120" w:type="dxa"/>
              <w:bottom w:w="80" w:type="dxa"/>
              <w:end w:w="120" w:type="dxa"/>
            </w:tcMar>
          </w:tcPr>
          <w:p>
            <w:pPr>
              <w:spacing w:after="0"/>
            </w:pPr>
            <w:r>
              <w:rPr>
                <w:rFonts w:ascii="Aptos" w:hAnsi="Aptos" w:eastAsia="Aptos"/>
                <w:b/>
                <w:color w:val="0B2545"/>
                <w:sz w:val="16"/>
              </w:rPr>
              <w:t>Grammar &amp; vocabulary</w:t>
            </w:r>
          </w:p>
        </w:tc>
        <w:tc>
          <w:tcPr>
            <w:tcW w:type="dxa" w:w="1760"/>
            <w:shd w:fill="E8EEF5"/>
            <w:vAlign w:val="center"/>
            <w:tcMar>
              <w:top w:w="80" w:type="dxa"/>
              <w:start w:w="120" w:type="dxa"/>
              <w:bottom w:w="80" w:type="dxa"/>
              <w:end w:w="120" w:type="dxa"/>
            </w:tcMar>
          </w:tcPr>
          <w:p>
            <w:pPr>
              <w:spacing w:after="0"/>
            </w:pPr>
            <w:r>
              <w:rPr>
                <w:rFonts w:ascii="Aptos" w:hAnsi="Aptos" w:eastAsia="Aptos"/>
                <w:b/>
                <w:color w:val="0B2545"/>
                <w:sz w:val="16"/>
              </w:rPr>
              <w:t>Evidence / genre</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6"/>
              </w:rPr>
              <w:t>Novice</w:t>
            </w:r>
          </w:p>
        </w:tc>
        <w:tc>
          <w:tcPr>
            <w:tcW w:type="dxa" w:w="2300"/>
            <w:vAlign w:val="top"/>
            <w:tcMar>
              <w:top w:w="80" w:type="dxa"/>
              <w:start w:w="120" w:type="dxa"/>
              <w:bottom w:w="80" w:type="dxa"/>
              <w:end w:w="120" w:type="dxa"/>
            </w:tcMar>
          </w:tcPr>
          <w:p>
            <w:pPr>
              <w:spacing w:after="0"/>
            </w:pPr>
            <w:r>
              <w:rPr>
                <w:rFonts w:ascii="Aptos" w:hAnsi="Aptos" w:eastAsia="Aptos"/>
                <w:sz w:val="16"/>
              </w:rPr>
              <w:t>Labels and short controlled sentences</w:t>
            </w:r>
          </w:p>
        </w:tc>
        <w:tc>
          <w:tcPr>
            <w:tcW w:type="dxa" w:w="2200"/>
            <w:vAlign w:val="top"/>
            <w:tcMar>
              <w:top w:w="80" w:type="dxa"/>
              <w:start w:w="120" w:type="dxa"/>
              <w:bottom w:w="80" w:type="dxa"/>
              <w:end w:w="120" w:type="dxa"/>
            </w:tcMar>
          </w:tcPr>
          <w:p>
            <w:pPr>
              <w:spacing w:after="0"/>
            </w:pPr>
            <w:r>
              <w:rPr>
                <w:rFonts w:ascii="Aptos" w:hAnsi="Aptos" w:eastAsia="Aptos"/>
                <w:sz w:val="16"/>
              </w:rPr>
              <w:t>Underdots/tones inconsistent; copied models stronger</w:t>
            </w:r>
          </w:p>
        </w:tc>
        <w:tc>
          <w:tcPr>
            <w:tcW w:type="dxa" w:w="2000"/>
            <w:vAlign w:val="top"/>
            <w:tcMar>
              <w:top w:w="80" w:type="dxa"/>
              <w:start w:w="120" w:type="dxa"/>
              <w:bottom w:w="80" w:type="dxa"/>
              <w:end w:w="120" w:type="dxa"/>
            </w:tcMar>
          </w:tcPr>
          <w:p>
            <w:pPr>
              <w:spacing w:after="0"/>
            </w:pPr>
            <w:r>
              <w:rPr>
                <w:rFonts w:ascii="Aptos" w:hAnsi="Aptos" w:eastAsia="Aptos"/>
                <w:sz w:val="16"/>
              </w:rPr>
              <w:t>Limited formulae</w:t>
            </w:r>
          </w:p>
        </w:tc>
        <w:tc>
          <w:tcPr>
            <w:tcW w:type="dxa" w:w="1760"/>
            <w:vAlign w:val="top"/>
            <w:tcMar>
              <w:top w:w="80" w:type="dxa"/>
              <w:start w:w="120" w:type="dxa"/>
              <w:bottom w:w="80" w:type="dxa"/>
              <w:end w:w="120" w:type="dxa"/>
            </w:tcMar>
          </w:tcPr>
          <w:p>
            <w:pPr>
              <w:spacing w:after="0"/>
            </w:pPr>
            <w:r>
              <w:rPr>
                <w:rFonts w:ascii="Aptos" w:hAnsi="Aptos" w:eastAsia="Aptos"/>
                <w:sz w:val="16"/>
              </w:rPr>
              <w:t>Task partially completed</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6"/>
              </w:rPr>
              <w:t>A1+</w:t>
            </w:r>
          </w:p>
        </w:tc>
        <w:tc>
          <w:tcPr>
            <w:tcW w:type="dxa" w:w="2300"/>
            <w:vAlign w:val="top"/>
            <w:tcMar>
              <w:top w:w="80" w:type="dxa"/>
              <w:start w:w="120" w:type="dxa"/>
              <w:bottom w:w="80" w:type="dxa"/>
              <w:end w:w="120" w:type="dxa"/>
            </w:tcMar>
          </w:tcPr>
          <w:p>
            <w:pPr>
              <w:spacing w:after="0"/>
            </w:pPr>
            <w:r>
              <w:rPr>
                <w:rFonts w:ascii="Aptos" w:hAnsi="Aptos" w:eastAsia="Aptos"/>
                <w:sz w:val="16"/>
              </w:rPr>
              <w:t>Short coherent paragraph on familiar topic</w:t>
            </w:r>
          </w:p>
        </w:tc>
        <w:tc>
          <w:tcPr>
            <w:tcW w:type="dxa" w:w="2200"/>
            <w:vAlign w:val="top"/>
            <w:tcMar>
              <w:top w:w="80" w:type="dxa"/>
              <w:start w:w="120" w:type="dxa"/>
              <w:bottom w:w="80" w:type="dxa"/>
              <w:end w:w="120" w:type="dxa"/>
            </w:tcMar>
          </w:tcPr>
          <w:p>
            <w:pPr>
              <w:spacing w:after="0"/>
            </w:pPr>
            <w:r>
              <w:rPr>
                <w:rFonts w:ascii="Aptos" w:hAnsi="Aptos" w:eastAsia="Aptos"/>
                <w:sz w:val="16"/>
              </w:rPr>
              <w:t>Most taught forms marked; recurring contrast errors</w:t>
            </w:r>
          </w:p>
        </w:tc>
        <w:tc>
          <w:tcPr>
            <w:tcW w:type="dxa" w:w="2000"/>
            <w:vAlign w:val="top"/>
            <w:tcMar>
              <w:top w:w="80" w:type="dxa"/>
              <w:start w:w="120" w:type="dxa"/>
              <w:bottom w:w="80" w:type="dxa"/>
              <w:end w:w="120" w:type="dxa"/>
            </w:tcMar>
          </w:tcPr>
          <w:p>
            <w:pPr>
              <w:spacing w:after="0"/>
            </w:pPr>
            <w:r>
              <w:rPr>
                <w:rFonts w:ascii="Aptos" w:hAnsi="Aptos" w:eastAsia="Aptos"/>
                <w:sz w:val="16"/>
              </w:rPr>
              <w:t>Core frames convey meaning</w:t>
            </w:r>
          </w:p>
        </w:tc>
        <w:tc>
          <w:tcPr>
            <w:tcW w:type="dxa" w:w="1760"/>
            <w:vAlign w:val="top"/>
            <w:tcMar>
              <w:top w:w="80" w:type="dxa"/>
              <w:start w:w="120" w:type="dxa"/>
              <w:bottom w:w="80" w:type="dxa"/>
              <w:end w:w="120" w:type="dxa"/>
            </w:tcMar>
          </w:tcPr>
          <w:p>
            <w:pPr>
              <w:spacing w:after="0"/>
            </w:pPr>
            <w:r>
              <w:rPr>
                <w:rFonts w:ascii="Aptos" w:hAnsi="Aptos" w:eastAsia="Aptos"/>
                <w:sz w:val="16"/>
              </w:rPr>
              <w:t>Basic genre/register awareness</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6"/>
              </w:rPr>
              <w:t>A2-B1</w:t>
            </w:r>
          </w:p>
        </w:tc>
        <w:tc>
          <w:tcPr>
            <w:tcW w:type="dxa" w:w="2300"/>
            <w:vAlign w:val="top"/>
            <w:tcMar>
              <w:top w:w="80" w:type="dxa"/>
              <w:start w:w="120" w:type="dxa"/>
              <w:bottom w:w="80" w:type="dxa"/>
              <w:end w:w="120" w:type="dxa"/>
            </w:tcMar>
          </w:tcPr>
          <w:p>
            <w:pPr>
              <w:spacing w:after="0"/>
            </w:pPr>
            <w:r>
              <w:rPr>
                <w:rFonts w:ascii="Aptos" w:hAnsi="Aptos" w:eastAsia="Aptos"/>
                <w:sz w:val="16"/>
              </w:rPr>
              <w:t>Connected 80-150+ word text with sequence</w:t>
            </w:r>
          </w:p>
        </w:tc>
        <w:tc>
          <w:tcPr>
            <w:tcW w:type="dxa" w:w="2200"/>
            <w:vAlign w:val="top"/>
            <w:tcMar>
              <w:top w:w="80" w:type="dxa"/>
              <w:start w:w="120" w:type="dxa"/>
              <w:bottom w:w="80" w:type="dxa"/>
              <w:end w:w="120" w:type="dxa"/>
            </w:tcMar>
          </w:tcPr>
          <w:p>
            <w:pPr>
              <w:spacing w:after="0"/>
            </w:pPr>
            <w:r>
              <w:rPr>
                <w:rFonts w:ascii="Aptos" w:hAnsi="Aptos" w:eastAsia="Aptos"/>
                <w:sz w:val="16"/>
              </w:rPr>
              <w:t>Reliable taught orthography; self-correction visible</w:t>
            </w:r>
          </w:p>
        </w:tc>
        <w:tc>
          <w:tcPr>
            <w:tcW w:type="dxa" w:w="2000"/>
            <w:vAlign w:val="top"/>
            <w:tcMar>
              <w:top w:w="80" w:type="dxa"/>
              <w:start w:w="120" w:type="dxa"/>
              <w:bottom w:w="80" w:type="dxa"/>
              <w:end w:w="120" w:type="dxa"/>
            </w:tcMar>
          </w:tcPr>
          <w:p>
            <w:pPr>
              <w:spacing w:after="0"/>
            </w:pPr>
            <w:r>
              <w:rPr>
                <w:rFonts w:ascii="Aptos" w:hAnsi="Aptos" w:eastAsia="Aptos"/>
                <w:sz w:val="16"/>
              </w:rPr>
              <w:t>Range supports description/narration/procedure</w:t>
            </w:r>
          </w:p>
        </w:tc>
        <w:tc>
          <w:tcPr>
            <w:tcW w:type="dxa" w:w="1760"/>
            <w:vAlign w:val="top"/>
            <w:tcMar>
              <w:top w:w="80" w:type="dxa"/>
              <w:start w:w="120" w:type="dxa"/>
              <w:bottom w:w="80" w:type="dxa"/>
              <w:end w:w="120" w:type="dxa"/>
            </w:tcMar>
          </w:tcPr>
          <w:p>
            <w:pPr>
              <w:spacing w:after="0"/>
            </w:pPr>
            <w:r>
              <w:rPr>
                <w:rFonts w:ascii="Aptos" w:hAnsi="Aptos" w:eastAsia="Aptos"/>
                <w:sz w:val="16"/>
              </w:rPr>
              <w:t>Relevant detail and appropriate format</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6"/>
              </w:rPr>
              <w:t>B2</w:t>
            </w:r>
          </w:p>
        </w:tc>
        <w:tc>
          <w:tcPr>
            <w:tcW w:type="dxa" w:w="2300"/>
            <w:vAlign w:val="top"/>
            <w:tcMar>
              <w:top w:w="80" w:type="dxa"/>
              <w:start w:w="120" w:type="dxa"/>
              <w:bottom w:w="80" w:type="dxa"/>
              <w:end w:w="120" w:type="dxa"/>
            </w:tcMar>
          </w:tcPr>
          <w:p>
            <w:pPr>
              <w:spacing w:after="0"/>
            </w:pPr>
            <w:r>
              <w:rPr>
                <w:rFonts w:ascii="Aptos" w:hAnsi="Aptos" w:eastAsia="Aptos"/>
                <w:sz w:val="16"/>
              </w:rPr>
              <w:t>Structured multi-paragraph argument/analysis</w:t>
            </w:r>
          </w:p>
        </w:tc>
        <w:tc>
          <w:tcPr>
            <w:tcW w:type="dxa" w:w="2200"/>
            <w:vAlign w:val="top"/>
            <w:tcMar>
              <w:top w:w="80" w:type="dxa"/>
              <w:start w:w="120" w:type="dxa"/>
              <w:bottom w:w="80" w:type="dxa"/>
              <w:end w:w="120" w:type="dxa"/>
            </w:tcMar>
          </w:tcPr>
          <w:p>
            <w:pPr>
              <w:spacing w:after="0"/>
            </w:pPr>
            <w:r>
              <w:rPr>
                <w:rFonts w:ascii="Aptos" w:hAnsi="Aptos" w:eastAsia="Aptos"/>
                <w:sz w:val="16"/>
              </w:rPr>
              <w:t>High accuracy; uncertainty flagged and checked</w:t>
            </w:r>
          </w:p>
        </w:tc>
        <w:tc>
          <w:tcPr>
            <w:tcW w:type="dxa" w:w="2000"/>
            <w:vAlign w:val="top"/>
            <w:tcMar>
              <w:top w:w="80" w:type="dxa"/>
              <w:start w:w="120" w:type="dxa"/>
              <w:bottom w:w="80" w:type="dxa"/>
              <w:end w:w="120" w:type="dxa"/>
            </w:tcMar>
          </w:tcPr>
          <w:p>
            <w:pPr>
              <w:spacing w:after="0"/>
            </w:pPr>
            <w:r>
              <w:rPr>
                <w:rFonts w:ascii="Aptos" w:hAnsi="Aptos" w:eastAsia="Aptos"/>
                <w:sz w:val="16"/>
              </w:rPr>
              <w:t>Varied clauses and cohesive vocabulary</w:t>
            </w:r>
          </w:p>
        </w:tc>
        <w:tc>
          <w:tcPr>
            <w:tcW w:type="dxa" w:w="1760"/>
            <w:vAlign w:val="top"/>
            <w:tcMar>
              <w:top w:w="80" w:type="dxa"/>
              <w:start w:w="120" w:type="dxa"/>
              <w:bottom w:w="80" w:type="dxa"/>
              <w:end w:w="120" w:type="dxa"/>
            </w:tcMar>
          </w:tcPr>
          <w:p>
            <w:pPr>
              <w:spacing w:after="0"/>
            </w:pPr>
            <w:r>
              <w:rPr>
                <w:rFonts w:ascii="Aptos" w:hAnsi="Aptos" w:eastAsia="Aptos"/>
                <w:sz w:val="16"/>
              </w:rPr>
              <w:t>Uses textual/media evidence responsibly</w:t>
            </w:r>
          </w:p>
        </w:tc>
      </w:tr>
      <w:tr>
        <w:trPr>
          <w:cantSplit/>
        </w:trPr>
        <w:tc>
          <w:tcPr>
            <w:tcW w:type="dxa" w:w="1100"/>
            <w:vAlign w:val="top"/>
            <w:tcMar>
              <w:top w:w="80" w:type="dxa"/>
              <w:start w:w="120" w:type="dxa"/>
              <w:bottom w:w="80" w:type="dxa"/>
              <w:end w:w="120" w:type="dxa"/>
            </w:tcMar>
          </w:tcPr>
          <w:p>
            <w:pPr>
              <w:spacing w:after="0"/>
            </w:pPr>
            <w:r>
              <w:rPr>
                <w:rFonts w:ascii="Aptos" w:hAnsi="Aptos" w:eastAsia="Aptos"/>
                <w:sz w:val="16"/>
              </w:rPr>
              <w:t>C1-C2-oriented</w:t>
            </w:r>
          </w:p>
        </w:tc>
        <w:tc>
          <w:tcPr>
            <w:tcW w:type="dxa" w:w="2300"/>
            <w:vAlign w:val="top"/>
            <w:tcMar>
              <w:top w:w="80" w:type="dxa"/>
              <w:start w:w="120" w:type="dxa"/>
              <w:bottom w:w="80" w:type="dxa"/>
              <w:end w:w="120" w:type="dxa"/>
            </w:tcMar>
          </w:tcPr>
          <w:p>
            <w:pPr>
              <w:spacing w:after="0"/>
            </w:pPr>
            <w:r>
              <w:rPr>
                <w:rFonts w:ascii="Aptos" w:hAnsi="Aptos" w:eastAsia="Aptos"/>
                <w:sz w:val="16"/>
              </w:rPr>
              <w:t>Sustained, precise, audience-aware academic/professional text</w:t>
            </w:r>
          </w:p>
        </w:tc>
        <w:tc>
          <w:tcPr>
            <w:tcW w:type="dxa" w:w="2200"/>
            <w:vAlign w:val="top"/>
            <w:tcMar>
              <w:top w:w="80" w:type="dxa"/>
              <w:start w:w="120" w:type="dxa"/>
              <w:bottom w:w="80" w:type="dxa"/>
              <w:end w:w="120" w:type="dxa"/>
            </w:tcMar>
          </w:tcPr>
          <w:p>
            <w:pPr>
              <w:spacing w:after="0"/>
            </w:pPr>
            <w:r>
              <w:rPr>
                <w:rFonts w:ascii="Aptos" w:hAnsi="Aptos" w:eastAsia="Aptos"/>
                <w:sz w:val="16"/>
              </w:rPr>
              <w:t>Editorially controlled standard; intentional quoted variation labeled</w:t>
            </w:r>
          </w:p>
        </w:tc>
        <w:tc>
          <w:tcPr>
            <w:tcW w:type="dxa" w:w="2000"/>
            <w:vAlign w:val="top"/>
            <w:tcMar>
              <w:top w:w="80" w:type="dxa"/>
              <w:start w:w="120" w:type="dxa"/>
              <w:bottom w:w="80" w:type="dxa"/>
              <w:end w:w="120" w:type="dxa"/>
            </w:tcMar>
          </w:tcPr>
          <w:p>
            <w:pPr>
              <w:spacing w:after="0"/>
            </w:pPr>
            <w:r>
              <w:rPr>
                <w:rFonts w:ascii="Aptos" w:hAnsi="Aptos" w:eastAsia="Aptos"/>
                <w:sz w:val="16"/>
              </w:rPr>
              <w:t>Flexible terminology, style, and syntax</w:t>
            </w:r>
          </w:p>
        </w:tc>
        <w:tc>
          <w:tcPr>
            <w:tcW w:type="dxa" w:w="1760"/>
            <w:vAlign w:val="top"/>
            <w:tcMar>
              <w:top w:w="80" w:type="dxa"/>
              <w:start w:w="120" w:type="dxa"/>
              <w:bottom w:w="80" w:type="dxa"/>
              <w:end w:w="120" w:type="dxa"/>
            </w:tcMar>
          </w:tcPr>
          <w:p>
            <w:pPr>
              <w:spacing w:after="0"/>
            </w:pPr>
            <w:r>
              <w:rPr>
                <w:rFonts w:ascii="Aptos" w:hAnsi="Aptos" w:eastAsia="Aptos"/>
                <w:sz w:val="16"/>
              </w:rPr>
              <w:t>Sources, counterclaims, limitations, genre, and revision decisions mastered</w:t>
            </w:r>
          </w:p>
        </w:tc>
      </w:tr>
    </w:tbl>
    <w:p>
      <w:pPr>
        <w:pStyle w:val="Heading2"/>
      </w:pPr>
      <w:r>
        <w:t>4. Portfolio requirements</w:t>
      </w:r>
    </w:p>
    <w:p>
      <w:pPr>
        <w:pStyle w:val="ListBullet"/>
        <w:spacing w:after="80" w:line="300" w:lineRule="auto"/>
      </w:pPr>
      <w:r>
        <w:t>At least 16 dated recordings: isolated tone work, dialogues, role-plays, narratives, presentations, and capstone defence.</w:t>
      </w:r>
    </w:p>
    <w:p>
      <w:pPr>
        <w:pStyle w:val="ListBullet"/>
        <w:spacing w:after="80" w:line="300" w:lineRule="auto"/>
      </w:pPr>
      <w:r>
        <w:t>At least 16 fully marked written pieces with first draft, correction key, revised version, and short error analysis.</w:t>
      </w:r>
    </w:p>
    <w:p>
      <w:pPr>
        <w:pStyle w:val="ListBullet"/>
        <w:spacing w:after="80" w:line="300" w:lineRule="auto"/>
      </w:pPr>
      <w:r>
        <w:t>Four module exam packs with scoring sheets and moderator comments.</w:t>
      </w:r>
    </w:p>
    <w:p>
      <w:pPr>
        <w:pStyle w:val="ListBullet"/>
        <w:spacing w:after="80" w:line="300" w:lineRule="auto"/>
      </w:pPr>
      <w:r>
        <w:t>A media/literature dossier containing annotated sources, summaries, and reflection on register.</w:t>
      </w:r>
    </w:p>
    <w:p>
      <w:pPr>
        <w:pStyle w:val="ListBullet"/>
        <w:spacing w:after="80" w:line="300" w:lineRule="auto"/>
      </w:pPr>
      <w:r>
        <w:t>An advanced translation or research capstone with consent/source records where applicable.</w:t>
      </w:r>
    </w:p>
    <w:p>
      <w:pPr>
        <w:pStyle w:val="Heading2"/>
      </w:pPr>
      <w:r>
        <w:t>5. Avant STAMP WS pathway</w:t>
      </w:r>
    </w:p>
    <w:p>
      <w:r>
        <w:t>Avant STAMP WS is an external, professionally scored two-skill assessment for ages 13+ that includes Yorùbá. It measures Writing and Speaking; it is not a four-skills test. Avant describes it as semi-computer-adaptive through reading/listening self-evaluation that helps route productive prompts. The test is proctored, not timed, and averages about 60-80 minutes. Learners should verify current ordering, pricing, sponsor, and score-report rules directly with Avant.</w:t>
      </w:r>
    </w:p>
    <w:tbl>
      <w:tblPr>
        <w:tblStyle w:val="TableGrid"/>
        <w:tblW w:type="dxa" w:w="9360"/>
        <w:jc w:val="left"/>
        <w:tblLayout w:type="fixed"/>
        <w:tblLook w:firstColumn="1" w:firstRow="1" w:lastColumn="0" w:lastRow="0" w:noHBand="0" w:noVBand="1" w:val="04A0"/>
        <w:tblInd w:w="120" w:type="dxa"/>
      </w:tblPr>
      <w:tblGrid>
        <w:gridCol w:w="2900"/>
        <w:gridCol w:w="3100"/>
        <w:gridCol w:w="3360"/>
      </w:tblGrid>
      <w:tr>
        <w:trPr>
          <w:tblHeader w:val="true"/>
          <w:cantSplit/>
        </w:trPr>
        <w:tc>
          <w:tcPr>
            <w:tcW w:type="dxa" w:w="2900"/>
            <w:shd w:fill="E8EEF5"/>
            <w:vAlign w:val="center"/>
            <w:tcMar>
              <w:top w:w="80" w:type="dxa"/>
              <w:start w:w="120" w:type="dxa"/>
              <w:bottom w:w="80" w:type="dxa"/>
              <w:end w:w="120" w:type="dxa"/>
            </w:tcMar>
          </w:tcPr>
          <w:p>
            <w:pPr>
              <w:spacing w:after="0"/>
            </w:pPr>
            <w:r>
              <w:rPr>
                <w:rFonts w:ascii="Aptos" w:hAnsi="Aptos" w:eastAsia="Aptos"/>
                <w:b/>
                <w:color w:val="0B2545"/>
                <w:sz w:val="17"/>
              </w:rPr>
              <w:t>Course preparation</w:t>
            </w:r>
          </w:p>
        </w:tc>
        <w:tc>
          <w:tcPr>
            <w:tcW w:type="dxa" w:w="3100"/>
            <w:shd w:fill="E8EEF5"/>
            <w:vAlign w:val="center"/>
            <w:tcMar>
              <w:top w:w="80" w:type="dxa"/>
              <w:start w:w="120" w:type="dxa"/>
              <w:bottom w:w="80" w:type="dxa"/>
              <w:end w:w="120" w:type="dxa"/>
            </w:tcMar>
          </w:tcPr>
          <w:p>
            <w:pPr>
              <w:spacing w:after="0"/>
            </w:pPr>
            <w:r>
              <w:rPr>
                <w:rFonts w:ascii="Aptos" w:hAnsi="Aptos" w:eastAsia="Aptos"/>
                <w:b/>
                <w:color w:val="0B2545"/>
                <w:sz w:val="17"/>
              </w:rPr>
              <w:t>STAMP WS relevance</w:t>
            </w:r>
          </w:p>
        </w:tc>
        <w:tc>
          <w:tcPr>
            <w:tcW w:type="dxa" w:w="3360"/>
            <w:shd w:fill="E8EEF5"/>
            <w:vAlign w:val="center"/>
            <w:tcMar>
              <w:top w:w="80" w:type="dxa"/>
              <w:start w:w="120" w:type="dxa"/>
              <w:bottom w:w="80" w:type="dxa"/>
              <w:end w:w="120" w:type="dxa"/>
            </w:tcMar>
          </w:tcPr>
          <w:p>
            <w:pPr>
              <w:spacing w:after="0"/>
            </w:pPr>
            <w:r>
              <w:rPr>
                <w:rFonts w:ascii="Aptos" w:hAnsi="Aptos" w:eastAsia="Aptos"/>
                <w:b/>
                <w:color w:val="0B2545"/>
                <w:sz w:val="17"/>
              </w:rPr>
              <w:t>Limitation</w:t>
            </w:r>
          </w:p>
        </w:tc>
      </w:tr>
      <w:tr>
        <w:trPr>
          <w:cantSplit/>
        </w:trPr>
        <w:tc>
          <w:tcPr>
            <w:tcW w:type="dxa" w:w="2900"/>
            <w:vAlign w:val="top"/>
            <w:tcMar>
              <w:top w:w="80" w:type="dxa"/>
              <w:start w:w="120" w:type="dxa"/>
              <w:bottom w:w="80" w:type="dxa"/>
              <w:end w:w="120" w:type="dxa"/>
            </w:tcMar>
          </w:tcPr>
          <w:p>
            <w:pPr>
              <w:spacing w:after="0"/>
            </w:pPr>
            <w:r>
              <w:rPr>
                <w:rFonts w:ascii="Aptos" w:hAnsi="Aptos" w:eastAsia="Aptos"/>
                <w:sz w:val="17"/>
              </w:rPr>
              <w:t>Timed and untimed writing across everyday, narrative, and analytical prompts</w:t>
            </w:r>
          </w:p>
        </w:tc>
        <w:tc>
          <w:tcPr>
            <w:tcW w:type="dxa" w:w="3100"/>
            <w:vAlign w:val="top"/>
            <w:tcMar>
              <w:top w:w="80" w:type="dxa"/>
              <w:start w:w="120" w:type="dxa"/>
              <w:bottom w:w="80" w:type="dxa"/>
              <w:end w:w="120" w:type="dxa"/>
            </w:tcMar>
          </w:tcPr>
          <w:p>
            <w:pPr>
              <w:spacing w:after="0"/>
            </w:pPr>
            <w:r>
              <w:rPr>
                <w:rFonts w:ascii="Aptos" w:hAnsi="Aptos" w:eastAsia="Aptos"/>
                <w:sz w:val="17"/>
              </w:rPr>
              <w:t>Builds range for Writing responses</w:t>
            </w:r>
          </w:p>
        </w:tc>
        <w:tc>
          <w:tcPr>
            <w:tcW w:type="dxa" w:w="3360"/>
            <w:vAlign w:val="top"/>
            <w:tcMar>
              <w:top w:w="80" w:type="dxa"/>
              <w:start w:w="120" w:type="dxa"/>
              <w:bottom w:w="80" w:type="dxa"/>
              <w:end w:w="120" w:type="dxa"/>
            </w:tcMar>
          </w:tcPr>
          <w:p>
            <w:pPr>
              <w:spacing w:after="0"/>
            </w:pPr>
            <w:r>
              <w:rPr>
                <w:rFonts w:ascii="Aptos" w:hAnsi="Aptos" w:eastAsia="Aptos"/>
                <w:sz w:val="17"/>
              </w:rPr>
              <w:t>Course rubrics do not predict an official Avant score</w:t>
            </w:r>
          </w:p>
        </w:tc>
      </w:tr>
      <w:tr>
        <w:trPr>
          <w:cantSplit/>
        </w:trPr>
        <w:tc>
          <w:tcPr>
            <w:tcW w:type="dxa" w:w="2900"/>
            <w:vAlign w:val="top"/>
            <w:tcMar>
              <w:top w:w="80" w:type="dxa"/>
              <w:start w:w="120" w:type="dxa"/>
              <w:bottom w:w="80" w:type="dxa"/>
              <w:end w:w="120" w:type="dxa"/>
            </w:tcMar>
          </w:tcPr>
          <w:p>
            <w:pPr>
              <w:spacing w:after="0"/>
            </w:pPr>
            <w:r>
              <w:rPr>
                <w:rFonts w:ascii="Aptos" w:hAnsi="Aptos" w:eastAsia="Aptos"/>
                <w:sz w:val="17"/>
              </w:rPr>
              <w:t>Recorded speaking with description, narration, explanation, and opinion</w:t>
            </w:r>
          </w:p>
        </w:tc>
        <w:tc>
          <w:tcPr>
            <w:tcW w:type="dxa" w:w="3100"/>
            <w:vAlign w:val="top"/>
            <w:tcMar>
              <w:top w:w="80" w:type="dxa"/>
              <w:start w:w="120" w:type="dxa"/>
              <w:bottom w:w="80" w:type="dxa"/>
              <w:end w:w="120" w:type="dxa"/>
            </w:tcMar>
          </w:tcPr>
          <w:p>
            <w:pPr>
              <w:spacing w:after="0"/>
            </w:pPr>
            <w:r>
              <w:rPr>
                <w:rFonts w:ascii="Aptos" w:hAnsi="Aptos" w:eastAsia="Aptos"/>
                <w:sz w:val="17"/>
              </w:rPr>
              <w:t>Builds productive Speaking evidence</w:t>
            </w:r>
          </w:p>
        </w:tc>
        <w:tc>
          <w:tcPr>
            <w:tcW w:type="dxa" w:w="3360"/>
            <w:vAlign w:val="top"/>
            <w:tcMar>
              <w:top w:w="80" w:type="dxa"/>
              <w:start w:w="120" w:type="dxa"/>
              <w:bottom w:w="80" w:type="dxa"/>
              <w:end w:w="120" w:type="dxa"/>
            </w:tcMar>
          </w:tcPr>
          <w:p>
            <w:pPr>
              <w:spacing w:after="0"/>
            </w:pPr>
            <w:r>
              <w:rPr>
                <w:rFonts w:ascii="Aptos" w:hAnsi="Aptos" w:eastAsia="Aptos"/>
                <w:sz w:val="17"/>
              </w:rPr>
              <w:t>A tutor score is not an Avant Certified Rater score</w:t>
            </w:r>
          </w:p>
        </w:tc>
      </w:tr>
      <w:tr>
        <w:trPr>
          <w:cantSplit/>
        </w:trPr>
        <w:tc>
          <w:tcPr>
            <w:tcW w:type="dxa" w:w="2900"/>
            <w:vAlign w:val="top"/>
            <w:tcMar>
              <w:top w:w="80" w:type="dxa"/>
              <w:start w:w="120" w:type="dxa"/>
              <w:bottom w:w="80" w:type="dxa"/>
              <w:end w:w="120" w:type="dxa"/>
            </w:tcMar>
          </w:tcPr>
          <w:p>
            <w:pPr>
              <w:spacing w:after="0"/>
            </w:pPr>
            <w:r>
              <w:rPr>
                <w:rFonts w:ascii="Aptos" w:hAnsi="Aptos" w:eastAsia="Aptos"/>
                <w:sz w:val="17"/>
              </w:rPr>
              <w:t>Keyboard mastery for diacritics</w:t>
            </w:r>
          </w:p>
        </w:tc>
        <w:tc>
          <w:tcPr>
            <w:tcW w:type="dxa" w:w="3100"/>
            <w:vAlign w:val="top"/>
            <w:tcMar>
              <w:top w:w="80" w:type="dxa"/>
              <w:start w:w="120" w:type="dxa"/>
              <w:bottom w:w="80" w:type="dxa"/>
              <w:end w:w="120" w:type="dxa"/>
            </w:tcMar>
          </w:tcPr>
          <w:p>
            <w:pPr>
              <w:spacing w:after="0"/>
            </w:pPr>
            <w:r>
              <w:rPr>
                <w:rFonts w:ascii="Aptos" w:hAnsi="Aptos" w:eastAsia="Aptos"/>
                <w:sz w:val="17"/>
              </w:rPr>
              <w:t>Supports accurate digital writing</w:t>
            </w:r>
          </w:p>
        </w:tc>
        <w:tc>
          <w:tcPr>
            <w:tcW w:type="dxa" w:w="3360"/>
            <w:vAlign w:val="top"/>
            <w:tcMar>
              <w:top w:w="80" w:type="dxa"/>
              <w:start w:w="120" w:type="dxa"/>
              <w:bottom w:w="80" w:type="dxa"/>
              <w:end w:w="120" w:type="dxa"/>
            </w:tcMar>
          </w:tcPr>
          <w:p>
            <w:pPr>
              <w:spacing w:after="0"/>
            </w:pPr>
            <w:r>
              <w:rPr>
                <w:rFonts w:ascii="Aptos" w:hAnsi="Aptos" w:eastAsia="Aptos"/>
                <w:sz w:val="17"/>
              </w:rPr>
              <w:t>Confirm the current test input environment</w:t>
            </w:r>
          </w:p>
        </w:tc>
      </w:tr>
      <w:tr>
        <w:trPr>
          <w:cantSplit/>
        </w:trPr>
        <w:tc>
          <w:tcPr>
            <w:tcW w:type="dxa" w:w="2900"/>
            <w:vAlign w:val="top"/>
            <w:tcMar>
              <w:top w:w="80" w:type="dxa"/>
              <w:start w:w="120" w:type="dxa"/>
              <w:bottom w:w="80" w:type="dxa"/>
              <w:end w:w="120" w:type="dxa"/>
            </w:tcMar>
          </w:tcPr>
          <w:p>
            <w:pPr>
              <w:spacing w:after="0"/>
            </w:pPr>
            <w:r>
              <w:rPr>
                <w:rFonts w:ascii="Aptos" w:hAnsi="Aptos" w:eastAsia="Aptos"/>
                <w:sz w:val="17"/>
              </w:rPr>
              <w:t>Mock 30-40 minute section practice</w:t>
            </w:r>
          </w:p>
        </w:tc>
        <w:tc>
          <w:tcPr>
            <w:tcW w:type="dxa" w:w="3100"/>
            <w:vAlign w:val="top"/>
            <w:tcMar>
              <w:top w:w="80" w:type="dxa"/>
              <w:start w:w="120" w:type="dxa"/>
              <w:bottom w:w="80" w:type="dxa"/>
              <w:end w:w="120" w:type="dxa"/>
            </w:tcMar>
          </w:tcPr>
          <w:p>
            <w:pPr>
              <w:spacing w:after="0"/>
            </w:pPr>
            <w:r>
              <w:rPr>
                <w:rFonts w:ascii="Aptos" w:hAnsi="Aptos" w:eastAsia="Aptos"/>
                <w:sz w:val="17"/>
              </w:rPr>
              <w:t>Matches the approximate per-section duration published by Global Seal</w:t>
            </w:r>
          </w:p>
        </w:tc>
        <w:tc>
          <w:tcPr>
            <w:tcW w:type="dxa" w:w="3360"/>
            <w:vAlign w:val="top"/>
            <w:tcMar>
              <w:top w:w="80" w:type="dxa"/>
              <w:start w:w="120" w:type="dxa"/>
              <w:bottom w:w="80" w:type="dxa"/>
              <w:end w:w="120" w:type="dxa"/>
            </w:tcMar>
          </w:tcPr>
          <w:p>
            <w:pPr>
              <w:spacing w:after="0"/>
            </w:pPr>
            <w:r>
              <w:rPr>
                <w:rFonts w:ascii="Aptos" w:hAnsi="Aptos" w:eastAsia="Aptos"/>
                <w:sz w:val="17"/>
              </w:rPr>
              <w:t>Actual STAMP WS is not timed and may take longer at higher levels</w:t>
            </w:r>
          </w:p>
        </w:tc>
      </w:tr>
    </w:tbl>
    <w:p>
      <w:r>
        <w:t>Global Seal's published STAMP WS page lists score 5 (Intermediate-Mid) for Functional Fluency and score 7 (Advanced-Low) for Working Fluency, with the required score in all assessed sections. These are external credential thresholds, not module grades.</w:t>
      </w:r>
    </w:p>
    <w:p>
      <w:pPr>
        <w:pStyle w:val="Heading2"/>
      </w:pPr>
      <w:r>
        <w:t>6. WAEC/WASSCE Yorùbá pathway</w:t>
      </w:r>
    </w:p>
    <w:p>
      <w:r>
        <w:t>WAEC's e-learning portal frames its past-paper resources as evidence of the standard expected in the final examination. The course therefore uses WASSCE materials as an advanced benchmark for orthography, composition, grammar, phonetics/phonology, culture, oral and written literature, proverbs/idioms, and exam-task interpretation. It does not claim that a second-language learner who completes this course is automatically prepared for the current examination or set texts.</w:t>
      </w:r>
    </w:p>
    <w:tbl>
      <w:tblPr>
        <w:tblStyle w:val="TableGrid"/>
        <w:tblW w:type="dxa" w:w="9360"/>
        <w:jc w:val="left"/>
        <w:tblLayout w:type="fixed"/>
        <w:tblLook w:firstColumn="1" w:firstRow="1" w:lastColumn="0" w:lastRow="0" w:noHBand="0" w:noVBand="1" w:val="04A0"/>
        <w:tblInd w:w="120" w:type="dxa"/>
      </w:tblPr>
      <w:tblGrid>
        <w:gridCol w:w="2600"/>
        <w:gridCol w:w="3670"/>
        <w:gridCol w:w="3090"/>
      </w:tblGrid>
      <w:tr>
        <w:trPr>
          <w:tblHeader w:val="true"/>
          <w:cantSplit/>
        </w:trPr>
        <w:tc>
          <w:tcPr>
            <w:tcW w:type="dxa" w:w="2600"/>
            <w:shd w:fill="E8EEF5"/>
            <w:vAlign w:val="center"/>
            <w:tcMar>
              <w:top w:w="80" w:type="dxa"/>
              <w:start w:w="120" w:type="dxa"/>
              <w:bottom w:w="80" w:type="dxa"/>
              <w:end w:w="120" w:type="dxa"/>
            </w:tcMar>
          </w:tcPr>
          <w:p>
            <w:pPr>
              <w:spacing w:after="0"/>
            </w:pPr>
            <w:r>
              <w:rPr>
                <w:rFonts w:ascii="Aptos" w:hAnsi="Aptos" w:eastAsia="Aptos"/>
                <w:b/>
                <w:color w:val="0B2545"/>
                <w:sz w:val="17"/>
              </w:rPr>
              <w:t>WAEC-observed demand</w:t>
            </w:r>
          </w:p>
        </w:tc>
        <w:tc>
          <w:tcPr>
            <w:tcW w:type="dxa" w:w="3670"/>
            <w:shd w:fill="E8EEF5"/>
            <w:vAlign w:val="center"/>
            <w:tcMar>
              <w:top w:w="80" w:type="dxa"/>
              <w:start w:w="120" w:type="dxa"/>
              <w:bottom w:w="80" w:type="dxa"/>
              <w:end w:w="120" w:type="dxa"/>
            </w:tcMar>
          </w:tcPr>
          <w:p>
            <w:pPr>
              <w:spacing w:after="0"/>
            </w:pPr>
            <w:r>
              <w:rPr>
                <w:rFonts w:ascii="Aptos" w:hAnsi="Aptos" w:eastAsia="Aptos"/>
                <w:b/>
                <w:color w:val="0B2545"/>
                <w:sz w:val="17"/>
              </w:rPr>
              <w:t>Course response</w:t>
            </w:r>
          </w:p>
        </w:tc>
        <w:tc>
          <w:tcPr>
            <w:tcW w:type="dxa" w:w="3090"/>
            <w:shd w:fill="E8EEF5"/>
            <w:vAlign w:val="center"/>
            <w:tcMar>
              <w:top w:w="80" w:type="dxa"/>
              <w:start w:w="120" w:type="dxa"/>
              <w:bottom w:w="80" w:type="dxa"/>
              <w:end w:w="120" w:type="dxa"/>
            </w:tcMar>
          </w:tcPr>
          <w:p>
            <w:pPr>
              <w:spacing w:after="0"/>
            </w:pPr>
            <w:r>
              <w:rPr>
                <w:rFonts w:ascii="Aptos" w:hAnsi="Aptos" w:eastAsia="Aptos"/>
                <w:b/>
                <w:color w:val="0B2545"/>
                <w:sz w:val="17"/>
              </w:rPr>
              <w:t>Required next step for candidates</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7"/>
              </w:rPr>
              <w:t>Correct underdots and tone marks</w:t>
            </w:r>
          </w:p>
        </w:tc>
        <w:tc>
          <w:tcPr>
            <w:tcW w:type="dxa" w:w="3670"/>
            <w:vAlign w:val="top"/>
            <w:tcMar>
              <w:top w:w="80" w:type="dxa"/>
              <w:start w:w="120" w:type="dxa"/>
              <w:bottom w:w="80" w:type="dxa"/>
              <w:end w:w="120" w:type="dxa"/>
            </w:tcMar>
          </w:tcPr>
          <w:p>
            <w:pPr>
              <w:spacing w:after="0"/>
            </w:pPr>
            <w:r>
              <w:rPr>
                <w:rFonts w:ascii="Aptos" w:hAnsi="Aptos" w:eastAsia="Aptos"/>
                <w:sz w:val="17"/>
              </w:rPr>
              <w:t>Daily marked writing, dictation, tone restoration, tone floor</w:t>
            </w:r>
          </w:p>
        </w:tc>
        <w:tc>
          <w:tcPr>
            <w:tcW w:type="dxa" w:w="3090"/>
            <w:vAlign w:val="top"/>
            <w:tcMar>
              <w:top w:w="80" w:type="dxa"/>
              <w:start w:w="120" w:type="dxa"/>
              <w:bottom w:w="80" w:type="dxa"/>
              <w:end w:w="120" w:type="dxa"/>
            </w:tcMar>
          </w:tcPr>
          <w:p>
            <w:pPr>
              <w:spacing w:after="0"/>
            </w:pPr>
            <w:r>
              <w:rPr>
                <w:rFonts w:ascii="Aptos" w:hAnsi="Aptos" w:eastAsia="Aptos"/>
                <w:sz w:val="17"/>
              </w:rPr>
              <w:t>Use the current official/approved syllabus and examiner materials</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7"/>
              </w:rPr>
              <w:t>Essay forms and letter writing</w:t>
            </w:r>
          </w:p>
        </w:tc>
        <w:tc>
          <w:tcPr>
            <w:tcW w:type="dxa" w:w="3670"/>
            <w:vAlign w:val="top"/>
            <w:tcMar>
              <w:top w:w="80" w:type="dxa"/>
              <w:start w:w="120" w:type="dxa"/>
              <w:bottom w:w="80" w:type="dxa"/>
              <w:end w:w="120" w:type="dxa"/>
            </w:tcMar>
          </w:tcPr>
          <w:p>
            <w:pPr>
              <w:spacing w:after="0"/>
            </w:pPr>
            <w:r>
              <w:rPr>
                <w:rFonts w:ascii="Aptos" w:hAnsi="Aptos" w:eastAsia="Aptos"/>
                <w:sz w:val="17"/>
              </w:rPr>
              <w:t>Narrative, descriptive, expository, argumentative, formal/informal email/letter tasks</w:t>
            </w:r>
          </w:p>
        </w:tc>
        <w:tc>
          <w:tcPr>
            <w:tcW w:type="dxa" w:w="3090"/>
            <w:vAlign w:val="top"/>
            <w:tcMar>
              <w:top w:w="80" w:type="dxa"/>
              <w:start w:w="120" w:type="dxa"/>
              <w:bottom w:w="80" w:type="dxa"/>
              <w:end w:w="120" w:type="dxa"/>
            </w:tcMar>
          </w:tcPr>
          <w:p>
            <w:pPr>
              <w:spacing w:after="0"/>
            </w:pPr>
            <w:r>
              <w:rPr>
                <w:rFonts w:ascii="Aptos" w:hAnsi="Aptos" w:eastAsia="Aptos"/>
                <w:sz w:val="17"/>
              </w:rPr>
              <w:t>Practice current rubrics and expected length</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7"/>
              </w:rPr>
              <w:t>Grammar and phonology</w:t>
            </w:r>
          </w:p>
        </w:tc>
        <w:tc>
          <w:tcPr>
            <w:tcW w:type="dxa" w:w="3670"/>
            <w:vAlign w:val="top"/>
            <w:tcMar>
              <w:top w:w="80" w:type="dxa"/>
              <w:start w:w="120" w:type="dxa"/>
              <w:bottom w:w="80" w:type="dxa"/>
              <w:end w:w="120" w:type="dxa"/>
            </w:tcMar>
          </w:tcPr>
          <w:p>
            <w:pPr>
              <w:spacing w:after="0"/>
            </w:pPr>
            <w:r>
              <w:rPr>
                <w:rFonts w:ascii="Aptos" w:hAnsi="Aptos" w:eastAsia="Aptos"/>
                <w:sz w:val="17"/>
              </w:rPr>
              <w:t>Constituent analysis, sounds, syllables, tone, morphology and syntax</w:t>
            </w:r>
          </w:p>
        </w:tc>
        <w:tc>
          <w:tcPr>
            <w:tcW w:type="dxa" w:w="3090"/>
            <w:vAlign w:val="top"/>
            <w:tcMar>
              <w:top w:w="80" w:type="dxa"/>
              <w:start w:w="120" w:type="dxa"/>
              <w:bottom w:w="80" w:type="dxa"/>
              <w:end w:w="120" w:type="dxa"/>
            </w:tcMar>
          </w:tcPr>
          <w:p>
            <w:pPr>
              <w:spacing w:after="0"/>
            </w:pPr>
            <w:r>
              <w:rPr>
                <w:rFonts w:ascii="Aptos" w:hAnsi="Aptos" w:eastAsia="Aptos"/>
                <w:sz w:val="17"/>
              </w:rPr>
              <w:t>Review current terminology and question formats</w:t>
            </w:r>
          </w:p>
        </w:tc>
      </w:tr>
      <w:tr>
        <w:trPr>
          <w:cantSplit/>
        </w:trPr>
        <w:tc>
          <w:tcPr>
            <w:tcW w:type="dxa" w:w="2600"/>
            <w:vAlign w:val="top"/>
            <w:tcMar>
              <w:top w:w="80" w:type="dxa"/>
              <w:start w:w="120" w:type="dxa"/>
              <w:bottom w:w="80" w:type="dxa"/>
              <w:end w:w="120" w:type="dxa"/>
            </w:tcMar>
          </w:tcPr>
          <w:p>
            <w:pPr>
              <w:spacing w:after="0"/>
            </w:pPr>
            <w:r>
              <w:rPr>
                <w:rFonts w:ascii="Aptos" w:hAnsi="Aptos" w:eastAsia="Aptos"/>
                <w:sz w:val="17"/>
              </w:rPr>
              <w:t>Culture, oral and written literature</w:t>
            </w:r>
          </w:p>
        </w:tc>
        <w:tc>
          <w:tcPr>
            <w:tcW w:type="dxa" w:w="3670"/>
            <w:vAlign w:val="top"/>
            <w:tcMar>
              <w:top w:w="80" w:type="dxa"/>
              <w:start w:w="120" w:type="dxa"/>
              <w:bottom w:w="80" w:type="dxa"/>
              <w:end w:w="120" w:type="dxa"/>
            </w:tcMar>
          </w:tcPr>
          <w:p>
            <w:pPr>
              <w:spacing w:after="0"/>
            </w:pPr>
            <w:r>
              <w:rPr>
                <w:rFonts w:ascii="Aptos" w:hAnsi="Aptos" w:eastAsia="Aptos"/>
                <w:sz w:val="17"/>
              </w:rPr>
              <w:t>Folktales, òwe, riddles, oríkì, drama, poetry, systems study</w:t>
            </w:r>
          </w:p>
        </w:tc>
        <w:tc>
          <w:tcPr>
            <w:tcW w:type="dxa" w:w="3090"/>
            <w:vAlign w:val="top"/>
            <w:tcMar>
              <w:top w:w="80" w:type="dxa"/>
              <w:start w:w="120" w:type="dxa"/>
              <w:bottom w:w="80" w:type="dxa"/>
              <w:end w:w="120" w:type="dxa"/>
            </w:tcMar>
          </w:tcPr>
          <w:p>
            <w:pPr>
              <w:spacing w:after="0"/>
            </w:pPr>
            <w:r>
              <w:rPr>
                <w:rFonts w:ascii="Aptos" w:hAnsi="Aptos" w:eastAsia="Aptos"/>
                <w:sz w:val="17"/>
              </w:rPr>
              <w:t>Obtain and study the current selected texts</w:t>
            </w:r>
          </w:p>
        </w:tc>
      </w:tr>
    </w:tbl>
    <w:p>
      <w:r>
        <w:br w:type="page"/>
      </w:r>
    </w:p>
    <w:p>
      <w:pPr>
        <w:pStyle w:val="Heading1"/>
      </w:pPr>
      <w:r>
        <w:t>Part VIII. Academic Course vs. Global Learning Platforms</w:t>
      </w:r>
    </w:p>
    <w:p>
      <w:r>
        <w:t>The platforms below are not ranked as institutions. Their published delivery models solve different problems: access, accountability, child engagement, literacy remediation, audio input, community, or individualized tutoring. Prices and schedules change; verify before purchase. The most robust path combines a sequenced curriculum, abundant input, and literate human feedback.</w:t>
      </w:r>
    </w:p>
    <w:tbl>
      <w:tblPr>
        <w:tblStyle w:val="TableGrid"/>
        <w:tblW w:type="dxa" w:w="9360"/>
        <w:jc w:val="left"/>
        <w:tblLayout w:type="fixed"/>
        <w:tblLook w:firstColumn="1" w:firstRow="1" w:lastColumn="0" w:lastRow="0" w:noHBand="0" w:noVBand="1" w:val="04A0"/>
        <w:tblInd w:w="120" w:type="dxa"/>
      </w:tblPr>
      <w:tblGrid>
        <w:gridCol w:w="1250"/>
        <w:gridCol w:w="3580"/>
        <w:gridCol w:w="2350"/>
        <w:gridCol w:w="2180"/>
      </w:tblGrid>
      <w:tr>
        <w:trPr>
          <w:tblHeader w:val="true"/>
          <w:cantSplit/>
        </w:trPr>
        <w:tc>
          <w:tcPr>
            <w:tcW w:type="dxa" w:w="1250"/>
            <w:shd w:fill="E8EEF5"/>
            <w:vAlign w:val="center"/>
            <w:tcMar>
              <w:top w:w="80" w:type="dxa"/>
              <w:start w:w="120" w:type="dxa"/>
              <w:bottom w:w="80" w:type="dxa"/>
              <w:end w:w="120" w:type="dxa"/>
            </w:tcMar>
          </w:tcPr>
          <w:p>
            <w:pPr>
              <w:spacing w:after="0"/>
            </w:pPr>
            <w:r>
              <w:rPr>
                <w:rFonts w:ascii="Aptos" w:hAnsi="Aptos" w:eastAsia="Aptos"/>
                <w:b/>
                <w:color w:val="0B2545"/>
                <w:sz w:val="15"/>
              </w:rPr>
              <w:t>Provider</w:t>
            </w:r>
          </w:p>
        </w:tc>
        <w:tc>
          <w:tcPr>
            <w:tcW w:type="dxa" w:w="3580"/>
            <w:shd w:fill="E8EEF5"/>
            <w:vAlign w:val="center"/>
            <w:tcMar>
              <w:top w:w="80" w:type="dxa"/>
              <w:start w:w="120" w:type="dxa"/>
              <w:bottom w:w="80" w:type="dxa"/>
              <w:end w:w="120" w:type="dxa"/>
            </w:tcMar>
          </w:tcPr>
          <w:p>
            <w:pPr>
              <w:spacing w:after="0"/>
            </w:pPr>
            <w:r>
              <w:rPr>
                <w:rFonts w:ascii="Aptos" w:hAnsi="Aptos" w:eastAsia="Aptos"/>
                <w:b/>
                <w:color w:val="0B2545"/>
                <w:sz w:val="15"/>
              </w:rPr>
              <w:t>Published offer used in this comparison</w:t>
            </w:r>
          </w:p>
        </w:tc>
        <w:tc>
          <w:tcPr>
            <w:tcW w:type="dxa" w:w="2350"/>
            <w:shd w:fill="E8EEF5"/>
            <w:vAlign w:val="center"/>
            <w:tcMar>
              <w:top w:w="80" w:type="dxa"/>
              <w:start w:w="120" w:type="dxa"/>
              <w:bottom w:w="80" w:type="dxa"/>
              <w:end w:w="120" w:type="dxa"/>
            </w:tcMar>
          </w:tcPr>
          <w:p>
            <w:pPr>
              <w:spacing w:after="0"/>
            </w:pPr>
            <w:r>
              <w:rPr>
                <w:rFonts w:ascii="Aptos" w:hAnsi="Aptos" w:eastAsia="Aptos"/>
                <w:b/>
                <w:color w:val="0B2545"/>
                <w:sz w:val="15"/>
              </w:rPr>
              <w:t>Best curricular role</w:t>
            </w:r>
          </w:p>
        </w:tc>
        <w:tc>
          <w:tcPr>
            <w:tcW w:type="dxa" w:w="2180"/>
            <w:shd w:fill="E8EEF5"/>
            <w:vAlign w:val="center"/>
            <w:tcMar>
              <w:top w:w="80" w:type="dxa"/>
              <w:start w:w="120" w:type="dxa"/>
              <w:bottom w:w="80" w:type="dxa"/>
              <w:end w:w="120" w:type="dxa"/>
            </w:tcMar>
          </w:tcPr>
          <w:p>
            <w:pPr>
              <w:spacing w:after="0"/>
            </w:pPr>
            <w:r>
              <w:rPr>
                <w:rFonts w:ascii="Aptos" w:hAnsi="Aptos" w:eastAsia="Aptos"/>
                <w:b/>
                <w:color w:val="0B2545"/>
                <w:sz w:val="15"/>
              </w:rPr>
              <w:t>Gap to manage</w:t>
            </w:r>
          </w:p>
        </w:tc>
      </w:tr>
      <w:tr>
        <w:trPr>
          <w:cantSplit/>
        </w:trPr>
        <w:tc>
          <w:tcPr>
            <w:tcW w:type="dxa" w:w="1250"/>
            <w:vAlign w:val="top"/>
            <w:tcMar>
              <w:top w:w="80" w:type="dxa"/>
              <w:start w:w="120" w:type="dxa"/>
              <w:bottom w:w="80" w:type="dxa"/>
              <w:end w:w="120" w:type="dxa"/>
            </w:tcMar>
          </w:tcPr>
          <w:p>
            <w:pPr>
              <w:spacing w:after="0"/>
            </w:pPr>
            <w:r>
              <w:rPr>
                <w:rFonts w:ascii="Aptos" w:hAnsi="Aptos" w:eastAsia="Aptos"/>
                <w:sz w:val="15"/>
              </w:rPr>
              <w:t>Akonilede Yoruba</w:t>
            </w:r>
          </w:p>
        </w:tc>
        <w:tc>
          <w:tcPr>
            <w:tcW w:type="dxa" w:w="3580"/>
            <w:vAlign w:val="top"/>
            <w:tcMar>
              <w:top w:w="80" w:type="dxa"/>
              <w:start w:w="120" w:type="dxa"/>
              <w:bottom w:w="80" w:type="dxa"/>
              <w:end w:w="120" w:type="dxa"/>
            </w:tcMar>
          </w:tcPr>
          <w:p>
            <w:pPr>
              <w:spacing w:after="0"/>
            </w:pPr>
            <w:r>
              <w:rPr>
                <w:rFonts w:ascii="Aptos" w:hAnsi="Aptos" w:eastAsia="Aptos"/>
                <w:sz w:val="15"/>
              </w:rPr>
              <w:t>Live small-group programme for children; current page lists 80 lessons over 12 months, two 60-minute weekend classes, groups of 10-15, dashboard, monthly culture club, games/role-play and recordings.</w:t>
            </w:r>
          </w:p>
        </w:tc>
        <w:tc>
          <w:tcPr>
            <w:tcW w:type="dxa" w:w="2350"/>
            <w:vAlign w:val="top"/>
            <w:tcMar>
              <w:top w:w="80" w:type="dxa"/>
              <w:start w:w="120" w:type="dxa"/>
              <w:bottom w:w="80" w:type="dxa"/>
              <w:end w:w="120" w:type="dxa"/>
            </w:tcMar>
          </w:tcPr>
          <w:p>
            <w:pPr>
              <w:spacing w:after="0"/>
            </w:pPr>
            <w:r>
              <w:rPr>
                <w:rFonts w:ascii="Aptos" w:hAnsi="Aptos" w:eastAsia="Aptos"/>
                <w:sz w:val="15"/>
              </w:rPr>
              <w:t>Long-horizon child/heritage accountability and community.</w:t>
            </w:r>
          </w:p>
        </w:tc>
        <w:tc>
          <w:tcPr>
            <w:tcW w:type="dxa" w:w="2180"/>
            <w:vAlign w:val="top"/>
            <w:tcMar>
              <w:top w:w="80" w:type="dxa"/>
              <w:start w:w="120" w:type="dxa"/>
              <w:bottom w:w="80" w:type="dxa"/>
              <w:end w:w="120" w:type="dxa"/>
            </w:tcMar>
          </w:tcPr>
          <w:p>
            <w:pPr>
              <w:spacing w:after="0"/>
            </w:pPr>
            <w:r>
              <w:rPr>
                <w:rFonts w:ascii="Aptos" w:hAnsi="Aptos" w:eastAsia="Aptos"/>
                <w:sz w:val="15"/>
              </w:rPr>
              <w:t>Published child-focused structure should not be treated as an adult advanced linguistics programme.</w:t>
            </w:r>
          </w:p>
        </w:tc>
      </w:tr>
      <w:tr>
        <w:trPr>
          <w:cantSplit/>
        </w:trPr>
        <w:tc>
          <w:tcPr>
            <w:tcW w:type="dxa" w:w="1250"/>
            <w:vAlign w:val="top"/>
            <w:tcMar>
              <w:top w:w="80" w:type="dxa"/>
              <w:start w:w="120" w:type="dxa"/>
              <w:bottom w:w="80" w:type="dxa"/>
              <w:end w:w="120" w:type="dxa"/>
            </w:tcMar>
          </w:tcPr>
          <w:p>
            <w:pPr>
              <w:spacing w:after="0"/>
            </w:pPr>
            <w:r>
              <w:rPr>
                <w:rFonts w:ascii="Aptos" w:hAnsi="Aptos" w:eastAsia="Aptos"/>
                <w:sz w:val="15"/>
              </w:rPr>
              <w:t>Alamoja Yoruba</w:t>
            </w:r>
          </w:p>
        </w:tc>
        <w:tc>
          <w:tcPr>
            <w:tcW w:type="dxa" w:w="3580"/>
            <w:vAlign w:val="top"/>
            <w:tcMar>
              <w:top w:w="80" w:type="dxa"/>
              <w:start w:w="120" w:type="dxa"/>
              <w:bottom w:w="80" w:type="dxa"/>
              <w:end w:w="120" w:type="dxa"/>
            </w:tcMar>
          </w:tcPr>
          <w:p>
            <w:pPr>
              <w:spacing w:after="0"/>
            </w:pPr>
            <w:r>
              <w:rPr>
                <w:rFonts w:ascii="Aptos" w:hAnsi="Aptos" w:eastAsia="Aptos"/>
                <w:sz w:val="15"/>
              </w:rPr>
              <w:t>Personalized one-to-one/small family classes, kids' club, self-paced Yorùversity; separate Reading School focuses on tone-marked literacy and advertises an 8-week programme; a current beginner page describes a 42-week curriculum.</w:t>
            </w:r>
          </w:p>
        </w:tc>
        <w:tc>
          <w:tcPr>
            <w:tcW w:type="dxa" w:w="2350"/>
            <w:vAlign w:val="top"/>
            <w:tcMar>
              <w:top w:w="80" w:type="dxa"/>
              <w:start w:w="120" w:type="dxa"/>
              <w:bottom w:w="80" w:type="dxa"/>
              <w:end w:w="120" w:type="dxa"/>
            </w:tcMar>
          </w:tcPr>
          <w:p>
            <w:pPr>
              <w:spacing w:after="0"/>
            </w:pPr>
            <w:r>
              <w:rPr>
                <w:rFonts w:ascii="Aptos" w:hAnsi="Aptos" w:eastAsia="Aptos"/>
                <w:sz w:val="15"/>
              </w:rPr>
              <w:t>Literacy intervention, live coaching, and structured beginner support.</w:t>
            </w:r>
          </w:p>
        </w:tc>
        <w:tc>
          <w:tcPr>
            <w:tcW w:type="dxa" w:w="2180"/>
            <w:vAlign w:val="top"/>
            <w:tcMar>
              <w:top w:w="80" w:type="dxa"/>
              <w:start w:w="120" w:type="dxa"/>
              <w:bottom w:w="80" w:type="dxa"/>
              <w:end w:w="120" w:type="dxa"/>
            </w:tcMar>
          </w:tcPr>
          <w:p>
            <w:pPr>
              <w:spacing w:after="0"/>
            </w:pPr>
            <w:r>
              <w:rPr>
                <w:rFonts w:ascii="Aptos" w:hAnsi="Aptos" w:eastAsia="Aptos"/>
                <w:sz w:val="15"/>
              </w:rPr>
              <w:t>Confirm which programme, level, duration, feedback, and assessment apply.</w:t>
            </w:r>
          </w:p>
        </w:tc>
      </w:tr>
      <w:tr>
        <w:trPr>
          <w:cantSplit/>
        </w:trPr>
        <w:tc>
          <w:tcPr>
            <w:tcW w:type="dxa" w:w="1250"/>
            <w:vAlign w:val="top"/>
            <w:tcMar>
              <w:top w:w="80" w:type="dxa"/>
              <w:start w:w="120" w:type="dxa"/>
              <w:bottom w:w="80" w:type="dxa"/>
              <w:end w:w="120" w:type="dxa"/>
            </w:tcMar>
          </w:tcPr>
          <w:p>
            <w:pPr>
              <w:spacing w:after="0"/>
            </w:pPr>
            <w:r>
              <w:rPr>
                <w:rFonts w:ascii="Aptos" w:hAnsi="Aptos" w:eastAsia="Aptos"/>
                <w:sz w:val="15"/>
              </w:rPr>
              <w:t>NKENNE</w:t>
            </w:r>
          </w:p>
        </w:tc>
        <w:tc>
          <w:tcPr>
            <w:tcW w:type="dxa" w:w="3580"/>
            <w:vAlign w:val="top"/>
            <w:tcMar>
              <w:top w:w="80" w:type="dxa"/>
              <w:start w:w="120" w:type="dxa"/>
              <w:bottom w:w="80" w:type="dxa"/>
              <w:end w:w="120" w:type="dxa"/>
            </w:tcMar>
          </w:tcPr>
          <w:p>
            <w:pPr>
              <w:spacing w:after="0"/>
            </w:pPr>
            <w:r>
              <w:rPr>
                <w:rFonts w:ascii="Aptos" w:hAnsi="Aptos" w:eastAsia="Aptos"/>
                <w:sz w:val="15"/>
              </w:rPr>
              <w:t>Yorùbá audio lessons, pronunciation guides/flashcards, cultural blogs/podcasts, community access, premium lesson library, and LiiVE one-to-one tutoring.</w:t>
            </w:r>
          </w:p>
        </w:tc>
        <w:tc>
          <w:tcPr>
            <w:tcW w:type="dxa" w:w="2350"/>
            <w:vAlign w:val="top"/>
            <w:tcMar>
              <w:top w:w="80" w:type="dxa"/>
              <w:start w:w="120" w:type="dxa"/>
              <w:bottom w:w="80" w:type="dxa"/>
              <w:end w:w="120" w:type="dxa"/>
            </w:tcMar>
          </w:tcPr>
          <w:p>
            <w:pPr>
              <w:spacing w:after="0"/>
            </w:pPr>
            <w:r>
              <w:rPr>
                <w:rFonts w:ascii="Aptos" w:hAnsi="Aptos" w:eastAsia="Aptos"/>
                <w:sz w:val="15"/>
              </w:rPr>
              <w:t>Audio input, spaced exposure, culture, community, and supplemental tutoring.</w:t>
            </w:r>
          </w:p>
        </w:tc>
        <w:tc>
          <w:tcPr>
            <w:tcW w:type="dxa" w:w="2180"/>
            <w:vAlign w:val="top"/>
            <w:tcMar>
              <w:top w:w="80" w:type="dxa"/>
              <w:start w:w="120" w:type="dxa"/>
              <w:bottom w:w="80" w:type="dxa"/>
              <w:end w:w="120" w:type="dxa"/>
            </w:tcMar>
          </w:tcPr>
          <w:p>
            <w:pPr>
              <w:spacing w:after="0"/>
            </w:pPr>
            <w:r>
              <w:rPr>
                <w:rFonts w:ascii="Aptos" w:hAnsi="Aptos" w:eastAsia="Aptos"/>
                <w:sz w:val="15"/>
              </w:rPr>
              <w:t>App completion is not evidence of university-level writing, literature, or research.</w:t>
            </w:r>
          </w:p>
        </w:tc>
      </w:tr>
      <w:tr>
        <w:trPr>
          <w:cantSplit/>
        </w:trPr>
        <w:tc>
          <w:tcPr>
            <w:tcW w:type="dxa" w:w="1250"/>
            <w:vAlign w:val="top"/>
            <w:tcMar>
              <w:top w:w="80" w:type="dxa"/>
              <w:start w:w="120" w:type="dxa"/>
              <w:bottom w:w="80" w:type="dxa"/>
              <w:end w:w="120" w:type="dxa"/>
            </w:tcMar>
          </w:tcPr>
          <w:p>
            <w:pPr>
              <w:spacing w:after="0"/>
            </w:pPr>
            <w:r>
              <w:rPr>
                <w:rFonts w:ascii="Aptos" w:hAnsi="Aptos" w:eastAsia="Aptos"/>
                <w:sz w:val="15"/>
              </w:rPr>
              <w:t>Asalewa</w:t>
            </w:r>
          </w:p>
        </w:tc>
        <w:tc>
          <w:tcPr>
            <w:tcW w:type="dxa" w:w="3580"/>
            <w:vAlign w:val="top"/>
            <w:tcMar>
              <w:top w:w="80" w:type="dxa"/>
              <w:start w:w="120" w:type="dxa"/>
              <w:bottom w:w="80" w:type="dxa"/>
              <w:end w:w="120" w:type="dxa"/>
            </w:tcMar>
          </w:tcPr>
          <w:p>
            <w:pPr>
              <w:spacing w:after="0"/>
            </w:pPr>
            <w:r>
              <w:rPr>
                <w:rFonts w:ascii="Aptos" w:hAnsi="Aptos" w:eastAsia="Aptos"/>
                <w:sz w:val="15"/>
              </w:rPr>
              <w:t>Self-paced A-Z bundle covering basics including alphabet, numbers, grammar, adverbs, prepositions and conjunctions; site also publishes 3-month group coaching and private one-to-one options with weekly Zoom/support materials.</w:t>
            </w:r>
          </w:p>
        </w:tc>
        <w:tc>
          <w:tcPr>
            <w:tcW w:type="dxa" w:w="2350"/>
            <w:vAlign w:val="top"/>
            <w:tcMar>
              <w:top w:w="80" w:type="dxa"/>
              <w:start w:w="120" w:type="dxa"/>
              <w:bottom w:w="80" w:type="dxa"/>
              <w:end w:w="120" w:type="dxa"/>
            </w:tcMar>
          </w:tcPr>
          <w:p>
            <w:pPr>
              <w:spacing w:after="0"/>
            </w:pPr>
            <w:r>
              <w:rPr>
                <w:rFonts w:ascii="Aptos" w:hAnsi="Aptos" w:eastAsia="Aptos"/>
                <w:sz w:val="15"/>
              </w:rPr>
              <w:t>Adult beginner structure, coaching, and conversation support.</w:t>
            </w:r>
          </w:p>
        </w:tc>
        <w:tc>
          <w:tcPr>
            <w:tcW w:type="dxa" w:w="2180"/>
            <w:vAlign w:val="top"/>
            <w:tcMar>
              <w:top w:w="80" w:type="dxa"/>
              <w:start w:w="120" w:type="dxa"/>
              <w:bottom w:w="80" w:type="dxa"/>
              <w:end w:w="120" w:type="dxa"/>
            </w:tcMar>
          </w:tcPr>
          <w:p>
            <w:pPr>
              <w:spacing w:after="0"/>
            </w:pPr>
            <w:r>
              <w:rPr>
                <w:rFonts w:ascii="Aptos" w:hAnsi="Aptos" w:eastAsia="Aptos"/>
                <w:sz w:val="15"/>
              </w:rPr>
              <w:t>Verify depth of tone-marked literacy and the pathway beyond basics.</w:t>
            </w:r>
          </w:p>
        </w:tc>
      </w:tr>
      <w:tr>
        <w:trPr>
          <w:cantSplit/>
        </w:trPr>
        <w:tc>
          <w:tcPr>
            <w:tcW w:type="dxa" w:w="1250"/>
            <w:vAlign w:val="top"/>
            <w:tcMar>
              <w:top w:w="80" w:type="dxa"/>
              <w:start w:w="120" w:type="dxa"/>
              <w:bottom w:w="80" w:type="dxa"/>
              <w:end w:w="120" w:type="dxa"/>
            </w:tcMar>
          </w:tcPr>
          <w:p>
            <w:pPr>
              <w:spacing w:after="0"/>
            </w:pPr>
            <w:r>
              <w:rPr>
                <w:rFonts w:ascii="Aptos" w:hAnsi="Aptos" w:eastAsia="Aptos"/>
                <w:sz w:val="15"/>
              </w:rPr>
              <w:t>AmazingTalker</w:t>
            </w:r>
          </w:p>
        </w:tc>
        <w:tc>
          <w:tcPr>
            <w:tcW w:type="dxa" w:w="3580"/>
            <w:vAlign w:val="top"/>
            <w:tcMar>
              <w:top w:w="80" w:type="dxa"/>
              <w:start w:w="120" w:type="dxa"/>
              <w:bottom w:w="80" w:type="dxa"/>
              <w:end w:w="120" w:type="dxa"/>
            </w:tcMar>
          </w:tcPr>
          <w:p>
            <w:pPr>
              <w:spacing w:after="0"/>
            </w:pPr>
            <w:r>
              <w:rPr>
                <w:rFonts w:ascii="Aptos" w:hAnsi="Aptos" w:eastAsia="Aptos"/>
                <w:sz w:val="15"/>
              </w:rPr>
              <w:t>Marketplace for customized one-to-one Yorùbá tutoring, with trial/standard lesson formats, tutor profiles, reviews, varied specialties, flexible schedules and per-tutor pricing.</w:t>
            </w:r>
          </w:p>
        </w:tc>
        <w:tc>
          <w:tcPr>
            <w:tcW w:type="dxa" w:w="2350"/>
            <w:vAlign w:val="top"/>
            <w:tcMar>
              <w:top w:w="80" w:type="dxa"/>
              <w:start w:w="120" w:type="dxa"/>
              <w:bottom w:w="80" w:type="dxa"/>
              <w:end w:w="120" w:type="dxa"/>
            </w:tcMar>
          </w:tcPr>
          <w:p>
            <w:pPr>
              <w:spacing w:after="0"/>
            </w:pPr>
            <w:r>
              <w:rPr>
                <w:rFonts w:ascii="Aptos" w:hAnsi="Aptos" w:eastAsia="Aptos"/>
                <w:sz w:val="15"/>
              </w:rPr>
              <w:t>Targeted correction, conversation, interpretation practice, and portfolio moderation.</w:t>
            </w:r>
          </w:p>
        </w:tc>
        <w:tc>
          <w:tcPr>
            <w:tcW w:type="dxa" w:w="2180"/>
            <w:vAlign w:val="top"/>
            <w:tcMar>
              <w:top w:w="80" w:type="dxa"/>
              <w:start w:w="120" w:type="dxa"/>
              <w:bottom w:w="80" w:type="dxa"/>
              <w:end w:w="120" w:type="dxa"/>
            </w:tcMar>
          </w:tcPr>
          <w:p>
            <w:pPr>
              <w:spacing w:after="0"/>
            </w:pPr>
            <w:r>
              <w:rPr>
                <w:rFonts w:ascii="Aptos" w:hAnsi="Aptos" w:eastAsia="Aptos"/>
                <w:sz w:val="15"/>
              </w:rPr>
              <w:t>Quality and curricular continuity depend on tutor selection and a shared syllabus.</w:t>
            </w:r>
          </w:p>
        </w:tc>
      </w:tr>
    </w:tbl>
    <w:p>
      <w:pPr>
        <w:pStyle w:val="Heading2"/>
        <w:pageBreakBefore/>
      </w:pPr>
      <w:r>
        <w:t>Decision guide</w:t>
      </w:r>
    </w:p>
    <w:tbl>
      <w:tblPr>
        <w:tblStyle w:val="TableGrid"/>
        <w:tblW w:type="dxa" w:w="9360"/>
        <w:jc w:val="left"/>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after="0"/>
            </w:pPr>
            <w:r>
              <w:rPr>
                <w:rFonts w:ascii="Aptos" w:hAnsi="Aptos" w:eastAsia="Aptos"/>
                <w:b/>
                <w:color w:val="0B2545"/>
                <w:sz w:val="18"/>
              </w:rPr>
              <w:t>Learner need</w:t>
            </w:r>
          </w:p>
        </w:tc>
        <w:tc>
          <w:tcPr>
            <w:tcW w:type="dxa" w:w="6660"/>
            <w:shd w:fill="E8EEF5"/>
            <w:vAlign w:val="center"/>
            <w:tcMar>
              <w:top w:w="80" w:type="dxa"/>
              <w:start w:w="120" w:type="dxa"/>
              <w:bottom w:w="80" w:type="dxa"/>
              <w:end w:w="120" w:type="dxa"/>
            </w:tcMar>
          </w:tcPr>
          <w:p>
            <w:pPr>
              <w:spacing w:after="0"/>
            </w:pPr>
            <w:r>
              <w:rPr>
                <w:rFonts w:ascii="Aptos" w:hAnsi="Aptos" w:eastAsia="Aptos"/>
                <w:b/>
                <w:color w:val="0B2545"/>
                <w:sz w:val="18"/>
              </w:rPr>
              <w:t>Recommended blend</w:t>
            </w:r>
          </w:p>
        </w:tc>
      </w:tr>
      <w:tr>
        <w:trPr>
          <w:cantSplit/>
        </w:trPr>
        <w:tc>
          <w:tcPr>
            <w:tcW w:type="dxa" w:w="2700"/>
            <w:vAlign w:val="top"/>
            <w:tcMar>
              <w:top w:w="80" w:type="dxa"/>
              <w:start w:w="120" w:type="dxa"/>
              <w:bottom w:w="80" w:type="dxa"/>
              <w:end w:w="120" w:type="dxa"/>
            </w:tcMar>
          </w:tcPr>
          <w:p>
            <w:pPr>
              <w:spacing w:after="0"/>
            </w:pPr>
            <w:r>
              <w:rPr>
                <w:rFonts w:ascii="Aptos" w:hAnsi="Aptos" w:eastAsia="Aptos"/>
                <w:sz w:val="18"/>
              </w:rPr>
              <w:t>Absolute beginner adult</w:t>
            </w:r>
          </w:p>
        </w:tc>
        <w:tc>
          <w:tcPr>
            <w:tcW w:type="dxa" w:w="6660"/>
            <w:vAlign w:val="top"/>
            <w:tcMar>
              <w:top w:w="80" w:type="dxa"/>
              <w:start w:w="120" w:type="dxa"/>
              <w:bottom w:w="80" w:type="dxa"/>
              <w:end w:w="120" w:type="dxa"/>
            </w:tcMar>
          </w:tcPr>
          <w:p>
            <w:pPr>
              <w:spacing w:after="0"/>
            </w:pPr>
            <w:r>
              <w:rPr>
                <w:rFonts w:ascii="Aptos" w:hAnsi="Aptos" w:eastAsia="Aptos"/>
                <w:sz w:val="18"/>
              </w:rPr>
              <w:t>This Module 1 + weekly literate tutor + one audio platform/channel.</w:t>
            </w:r>
          </w:p>
        </w:tc>
      </w:tr>
      <w:tr>
        <w:trPr>
          <w:cantSplit/>
        </w:trPr>
        <w:tc>
          <w:tcPr>
            <w:tcW w:type="dxa" w:w="2700"/>
            <w:vAlign w:val="top"/>
            <w:tcMar>
              <w:top w:w="80" w:type="dxa"/>
              <w:start w:w="120" w:type="dxa"/>
              <w:bottom w:w="80" w:type="dxa"/>
              <w:end w:w="120" w:type="dxa"/>
            </w:tcMar>
          </w:tcPr>
          <w:p>
            <w:pPr>
              <w:spacing w:after="0"/>
            </w:pPr>
            <w:r>
              <w:rPr>
                <w:rFonts w:ascii="Aptos" w:hAnsi="Aptos" w:eastAsia="Aptos"/>
                <w:sz w:val="18"/>
              </w:rPr>
              <w:t>Diaspora child</w:t>
            </w:r>
          </w:p>
        </w:tc>
        <w:tc>
          <w:tcPr>
            <w:tcW w:type="dxa" w:w="6660"/>
            <w:vAlign w:val="top"/>
            <w:tcMar>
              <w:top w:w="80" w:type="dxa"/>
              <w:start w:w="120" w:type="dxa"/>
              <w:bottom w:w="80" w:type="dxa"/>
              <w:end w:w="120" w:type="dxa"/>
            </w:tcMar>
          </w:tcPr>
          <w:p>
            <w:pPr>
              <w:spacing w:after="0"/>
            </w:pPr>
            <w:r>
              <w:rPr>
                <w:rFonts w:ascii="Aptos" w:hAnsi="Aptos" w:eastAsia="Aptos"/>
                <w:sz w:val="18"/>
              </w:rPr>
              <w:t>Age-appropriate cohort such as the published Akonilede model + family greeting routine + literacy checks.</w:t>
            </w:r>
          </w:p>
        </w:tc>
      </w:tr>
      <w:tr>
        <w:trPr>
          <w:cantSplit/>
        </w:trPr>
        <w:tc>
          <w:tcPr>
            <w:tcW w:type="dxa" w:w="2700"/>
            <w:vAlign w:val="top"/>
            <w:tcMar>
              <w:top w:w="80" w:type="dxa"/>
              <w:start w:w="120" w:type="dxa"/>
              <w:bottom w:w="80" w:type="dxa"/>
              <w:end w:w="120" w:type="dxa"/>
            </w:tcMar>
          </w:tcPr>
          <w:p>
            <w:pPr>
              <w:spacing w:after="0"/>
            </w:pPr>
            <w:r>
              <w:rPr>
                <w:rFonts w:ascii="Aptos" w:hAnsi="Aptos" w:eastAsia="Aptos"/>
                <w:sz w:val="18"/>
              </w:rPr>
              <w:t>Heritage speaker who cannot read tones</w:t>
            </w:r>
          </w:p>
        </w:tc>
        <w:tc>
          <w:tcPr>
            <w:tcW w:type="dxa" w:w="6660"/>
            <w:vAlign w:val="top"/>
            <w:tcMar>
              <w:top w:w="80" w:type="dxa"/>
              <w:start w:w="120" w:type="dxa"/>
              <w:bottom w:w="80" w:type="dxa"/>
              <w:end w:w="120" w:type="dxa"/>
            </w:tcMar>
          </w:tcPr>
          <w:p>
            <w:pPr>
              <w:spacing w:after="0"/>
            </w:pPr>
            <w:r>
              <w:rPr>
                <w:rFonts w:ascii="Aptos" w:hAnsi="Aptos" w:eastAsia="Aptos"/>
                <w:sz w:val="18"/>
              </w:rPr>
              <w:t>Module 1 diagnostic then Module 3 literacy strand; consider Alamoja Reading School; do not skip phonology.</w:t>
            </w:r>
          </w:p>
        </w:tc>
      </w:tr>
      <w:tr>
        <w:trPr>
          <w:cantSplit/>
        </w:trPr>
        <w:tc>
          <w:tcPr>
            <w:tcW w:type="dxa" w:w="2700"/>
            <w:vAlign w:val="top"/>
            <w:tcMar>
              <w:top w:w="80" w:type="dxa"/>
              <w:start w:w="120" w:type="dxa"/>
              <w:bottom w:w="80" w:type="dxa"/>
              <w:end w:w="120" w:type="dxa"/>
            </w:tcMar>
          </w:tcPr>
          <w:p>
            <w:pPr>
              <w:spacing w:after="0"/>
            </w:pPr>
            <w:r>
              <w:rPr>
                <w:rFonts w:ascii="Aptos" w:hAnsi="Aptos" w:eastAsia="Aptos"/>
                <w:sz w:val="18"/>
              </w:rPr>
              <w:t>Busy self-paced learner</w:t>
            </w:r>
          </w:p>
        </w:tc>
        <w:tc>
          <w:tcPr>
            <w:tcW w:type="dxa" w:w="6660"/>
            <w:vAlign w:val="top"/>
            <w:tcMar>
              <w:top w:w="80" w:type="dxa"/>
              <w:start w:w="120" w:type="dxa"/>
              <w:bottom w:w="80" w:type="dxa"/>
              <w:end w:w="120" w:type="dxa"/>
            </w:tcMar>
          </w:tcPr>
          <w:p>
            <w:pPr>
              <w:spacing w:after="0"/>
            </w:pPr>
            <w:r>
              <w:rPr>
                <w:rFonts w:ascii="Aptos" w:hAnsi="Aptos" w:eastAsia="Aptos"/>
                <w:sz w:val="18"/>
              </w:rPr>
              <w:t>Asalewa or NKENNE for access + this course's weekly outputs + monthly tutor moderation.</w:t>
            </w:r>
          </w:p>
        </w:tc>
      </w:tr>
      <w:tr>
        <w:trPr>
          <w:cantSplit/>
        </w:trPr>
        <w:tc>
          <w:tcPr>
            <w:tcW w:type="dxa" w:w="2700"/>
            <w:vAlign w:val="top"/>
            <w:tcMar>
              <w:top w:w="80" w:type="dxa"/>
              <w:start w:w="120" w:type="dxa"/>
              <w:bottom w:w="80" w:type="dxa"/>
              <w:end w:w="120" w:type="dxa"/>
            </w:tcMar>
          </w:tcPr>
          <w:p>
            <w:pPr>
              <w:spacing w:after="0"/>
            </w:pPr>
            <w:r>
              <w:rPr>
                <w:rFonts w:ascii="Aptos" w:hAnsi="Aptos" w:eastAsia="Aptos"/>
                <w:sz w:val="18"/>
              </w:rPr>
              <w:t>Avant STAMP WS candidate</w:t>
            </w:r>
          </w:p>
        </w:tc>
        <w:tc>
          <w:tcPr>
            <w:tcW w:type="dxa" w:w="6660"/>
            <w:vAlign w:val="top"/>
            <w:tcMar>
              <w:top w:w="80" w:type="dxa"/>
              <w:start w:w="120" w:type="dxa"/>
              <w:bottom w:w="80" w:type="dxa"/>
              <w:end w:w="120" w:type="dxa"/>
            </w:tcMar>
          </w:tcPr>
          <w:p>
            <w:pPr>
              <w:spacing w:after="0"/>
            </w:pPr>
            <w:r>
              <w:rPr>
                <w:rFonts w:ascii="Aptos" w:hAnsi="Aptos" w:eastAsia="Aptos"/>
                <w:sz w:val="18"/>
              </w:rPr>
              <w:t>Advanced productive prompt practice with an AmazingTalker/NKENNE/private tutor who agrees to use the course rubric; then official sample guidance.</w:t>
            </w:r>
          </w:p>
        </w:tc>
      </w:tr>
      <w:tr>
        <w:trPr>
          <w:cantSplit/>
        </w:trPr>
        <w:tc>
          <w:tcPr>
            <w:tcW w:type="dxa" w:w="2700"/>
            <w:vAlign w:val="top"/>
            <w:tcMar>
              <w:top w:w="80" w:type="dxa"/>
              <w:start w:w="120" w:type="dxa"/>
              <w:bottom w:w="80" w:type="dxa"/>
              <w:end w:w="120" w:type="dxa"/>
            </w:tcMar>
          </w:tcPr>
          <w:p>
            <w:pPr>
              <w:spacing w:after="0"/>
            </w:pPr>
            <w:r>
              <w:rPr>
                <w:rFonts w:ascii="Aptos" w:hAnsi="Aptos" w:eastAsia="Aptos"/>
                <w:sz w:val="18"/>
              </w:rPr>
              <w:t>WASSCE candidate</w:t>
            </w:r>
          </w:p>
        </w:tc>
        <w:tc>
          <w:tcPr>
            <w:tcW w:type="dxa" w:w="6660"/>
            <w:vAlign w:val="top"/>
            <w:tcMar>
              <w:top w:w="80" w:type="dxa"/>
              <w:start w:w="120" w:type="dxa"/>
              <w:bottom w:w="80" w:type="dxa"/>
              <w:end w:w="120" w:type="dxa"/>
            </w:tcMar>
          </w:tcPr>
          <w:p>
            <w:pPr>
              <w:spacing w:after="0"/>
            </w:pPr>
            <w:r>
              <w:rPr>
                <w:rFonts w:ascii="Aptos" w:hAnsi="Aptos" w:eastAsia="Aptos"/>
                <w:sz w:val="18"/>
              </w:rPr>
              <w:t>This course's orthography/grammar/literature strands + current WAEC syllabus, selected texts, past papers, and a qualified exam teacher.</w:t>
            </w:r>
          </w:p>
        </w:tc>
      </w:tr>
    </w:tbl>
    <w:p>
      <w:r>
        <w:br w:type="page"/>
      </w:r>
    </w:p>
    <w:p>
      <w:pPr>
        <w:pStyle w:val="Heading1"/>
        <w:ind w:left="0" w:firstLine="0"/>
      </w:pPr>
      <w:r>
        <w:t>Part IX. Media &amp; Learning Resources</w:t>
      </w:r>
    </w:p>
    <w:p>
      <w:pPr>
        <w:pStyle w:val="Heading2"/>
      </w:pPr>
      <w:r>
        <w:t>1. Living culture rotation</w:t>
      </w:r>
    </w:p>
    <w:p>
      <w:r>
        <w:t>Culture is not an occasional sidebar. Each week, choose one attributable source and complete the same four-move loop: WATCH/READ for meaning; NOTICE language and register; ASK what the source can and cannot establish; MAKE an original response with a source ledger.</w:t>
      </w:r>
    </w:p>
    <w:tbl>
      <w:tblPr>
        <w:tblStyle w:val="TableGrid"/>
        <w:tblW w:type="dxa" w:w="9360"/>
        <w:jc w:val="left"/>
        <w:tblLayout w:type="fixed"/>
        <w:tblLook w:firstColumn="1" w:firstRow="1" w:lastColumn="0" w:lastRow="0" w:noHBand="0" w:noVBand="1" w:val="04A0"/>
        <w:tblInd w:w="120" w:type="dxa"/>
      </w:tblPr>
      <w:tblGrid>
        <w:gridCol w:w="1700"/>
        <w:gridCol w:w="2770"/>
        <w:gridCol w:w="2900"/>
        <w:gridCol w:w="1990"/>
      </w:tblGrid>
      <w:tr>
        <w:trPr>
          <w:tblHeader w:val="true"/>
          <w:cantSplit/>
        </w:trPr>
        <w:tc>
          <w:tcPr>
            <w:tcW w:type="dxa" w:w="1700"/>
            <w:shd w:fill="E8EEF5"/>
            <w:vAlign w:val="center"/>
            <w:tcMar>
              <w:top w:w="80" w:type="dxa"/>
              <w:start w:w="120" w:type="dxa"/>
              <w:bottom w:w="80" w:type="dxa"/>
              <w:end w:w="120" w:type="dxa"/>
            </w:tcMar>
          </w:tcPr>
          <w:p>
            <w:pPr>
              <w:spacing w:after="0"/>
            </w:pPr>
            <w:r>
              <w:rPr>
                <w:rFonts w:ascii="Aptos" w:hAnsi="Aptos" w:eastAsia="Aptos"/>
                <w:b/>
                <w:color w:val="0B2545"/>
                <w:sz w:val="15"/>
              </w:rPr>
              <w:t>Culture strand</w:t>
            </w:r>
          </w:p>
        </w:tc>
        <w:tc>
          <w:tcPr>
            <w:tcW w:type="dxa" w:w="2770"/>
            <w:shd w:fill="E8EEF5"/>
            <w:vAlign w:val="center"/>
            <w:tcMar>
              <w:top w:w="80" w:type="dxa"/>
              <w:start w:w="120" w:type="dxa"/>
              <w:bottom w:w="80" w:type="dxa"/>
              <w:end w:w="120" w:type="dxa"/>
            </w:tcMar>
          </w:tcPr>
          <w:p>
            <w:pPr>
              <w:spacing w:after="0"/>
            </w:pPr>
            <w:r>
              <w:rPr>
                <w:rFonts w:ascii="Aptos" w:hAnsi="Aptos" w:eastAsia="Aptos"/>
                <w:b/>
                <w:color w:val="0B2545"/>
                <w:sz w:val="15"/>
              </w:rPr>
              <w:t>Fresh input</w:t>
            </w:r>
          </w:p>
        </w:tc>
        <w:tc>
          <w:tcPr>
            <w:tcW w:type="dxa" w:w="2900"/>
            <w:shd w:fill="E8EEF5"/>
            <w:vAlign w:val="center"/>
            <w:tcMar>
              <w:top w:w="80" w:type="dxa"/>
              <w:start w:w="120" w:type="dxa"/>
              <w:bottom w:w="80" w:type="dxa"/>
              <w:end w:w="120" w:type="dxa"/>
            </w:tcMar>
          </w:tcPr>
          <w:p>
            <w:pPr>
              <w:spacing w:after="0"/>
            </w:pPr>
            <w:r>
              <w:rPr>
                <w:rFonts w:ascii="Aptos" w:hAnsi="Aptos" w:eastAsia="Aptos"/>
                <w:b/>
                <w:color w:val="0B2545"/>
                <w:sz w:val="15"/>
              </w:rPr>
              <w:t>Language action</w:t>
            </w:r>
          </w:p>
        </w:tc>
        <w:tc>
          <w:tcPr>
            <w:tcW w:type="dxa" w:w="1990"/>
            <w:shd w:fill="E8EEF5"/>
            <w:vAlign w:val="center"/>
            <w:tcMar>
              <w:top w:w="80" w:type="dxa"/>
              <w:start w:w="120" w:type="dxa"/>
              <w:bottom w:w="80" w:type="dxa"/>
              <w:end w:w="120" w:type="dxa"/>
            </w:tcMar>
          </w:tcPr>
          <w:p>
            <w:pPr>
              <w:spacing w:after="0"/>
            </w:pPr>
            <w:r>
              <w:rPr>
                <w:rFonts w:ascii="Aptos" w:hAnsi="Aptos" w:eastAsia="Aptos"/>
                <w:b/>
                <w:color w:val="0B2545"/>
                <w:sz w:val="15"/>
              </w:rPr>
              <w:t>Advanced inquiry</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5"/>
              </w:rPr>
              <w:t>Food and foodways</w:t>
            </w:r>
          </w:p>
        </w:tc>
        <w:tc>
          <w:tcPr>
            <w:tcW w:type="dxa" w:w="2770"/>
            <w:vAlign w:val="top"/>
            <w:tcMar>
              <w:top w:w="80" w:type="dxa"/>
              <w:start w:w="120" w:type="dxa"/>
              <w:bottom w:w="80" w:type="dxa"/>
              <w:end w:w="120" w:type="dxa"/>
            </w:tcMar>
          </w:tcPr>
          <w:p>
            <w:pPr>
              <w:spacing w:after="0"/>
            </w:pPr>
            <w:r>
              <w:rPr>
                <w:rFonts w:ascii="Aptos" w:hAnsi="Aptos" w:eastAsia="Aptos"/>
                <w:sz w:val="15"/>
              </w:rPr>
              <w:t>Ingredient, market, cooking, hospitality or food-history source</w:t>
            </w:r>
          </w:p>
        </w:tc>
        <w:tc>
          <w:tcPr>
            <w:tcW w:type="dxa" w:w="2900"/>
            <w:vAlign w:val="top"/>
            <w:tcMar>
              <w:top w:w="80" w:type="dxa"/>
              <w:start w:w="120" w:type="dxa"/>
              <w:bottom w:w="80" w:type="dxa"/>
              <w:end w:w="120" w:type="dxa"/>
            </w:tcMar>
          </w:tcPr>
          <w:p>
            <w:pPr>
              <w:spacing w:after="0"/>
            </w:pPr>
            <w:r>
              <w:rPr>
                <w:rFonts w:ascii="Aptos" w:hAnsi="Aptos" w:eastAsia="Aptos"/>
                <w:sz w:val="15"/>
              </w:rPr>
              <w:t>Label with verified forms; order, bargain, explain sequence; interview with consent</w:t>
            </w:r>
          </w:p>
        </w:tc>
        <w:tc>
          <w:tcPr>
            <w:tcW w:type="dxa" w:w="1990"/>
            <w:vAlign w:val="top"/>
            <w:tcMar>
              <w:top w:w="80" w:type="dxa"/>
              <w:start w:w="120" w:type="dxa"/>
              <w:bottom w:w="80" w:type="dxa"/>
              <w:end w:w="120" w:type="dxa"/>
            </w:tcMar>
          </w:tcPr>
          <w:p>
            <w:pPr>
              <w:spacing w:after="0"/>
            </w:pPr>
            <w:r>
              <w:rPr>
                <w:rFonts w:ascii="Aptos" w:hAnsi="Aptos" w:eastAsia="Aptos"/>
                <w:sz w:val="15"/>
              </w:rPr>
              <w:t>Compare contemporary practice with historical/material evidence without universalizing</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5"/>
              </w:rPr>
              <w:t>Folktales and oral arts</w:t>
            </w:r>
          </w:p>
        </w:tc>
        <w:tc>
          <w:tcPr>
            <w:tcW w:type="dxa" w:w="2770"/>
            <w:vAlign w:val="top"/>
            <w:tcMar>
              <w:top w:w="80" w:type="dxa"/>
              <w:start w:w="120" w:type="dxa"/>
              <w:bottom w:w="80" w:type="dxa"/>
              <w:end w:w="120" w:type="dxa"/>
            </w:tcMar>
          </w:tcPr>
          <w:p>
            <w:pPr>
              <w:spacing w:after="0"/>
            </w:pPr>
            <w:r>
              <w:rPr>
                <w:rFonts w:ascii="Aptos" w:hAnsi="Aptos" w:eastAsia="Aptos"/>
                <w:sz w:val="15"/>
              </w:rPr>
              <w:t>Attributed folktale, òwe, riddle or permission-cleared oríkì</w:t>
            </w:r>
          </w:p>
        </w:tc>
        <w:tc>
          <w:tcPr>
            <w:tcW w:type="dxa" w:w="2900"/>
            <w:vAlign w:val="top"/>
            <w:tcMar>
              <w:top w:w="80" w:type="dxa"/>
              <w:start w:w="120" w:type="dxa"/>
              <w:bottom w:w="80" w:type="dxa"/>
              <w:end w:w="120" w:type="dxa"/>
            </w:tcMar>
          </w:tcPr>
          <w:p>
            <w:pPr>
              <w:spacing w:after="0"/>
            </w:pPr>
            <w:r>
              <w:rPr>
                <w:rFonts w:ascii="Aptos" w:hAnsi="Aptos" w:eastAsia="Aptos"/>
                <w:sz w:val="15"/>
              </w:rPr>
              <w:t>Map sequence, repetition, audience and performance; retell without invented details</w:t>
            </w:r>
          </w:p>
        </w:tc>
        <w:tc>
          <w:tcPr>
            <w:tcW w:type="dxa" w:w="1990"/>
            <w:vAlign w:val="top"/>
            <w:tcMar>
              <w:top w:w="80" w:type="dxa"/>
              <w:start w:w="120" w:type="dxa"/>
              <w:bottom w:w="80" w:type="dxa"/>
              <w:end w:w="120" w:type="dxa"/>
            </w:tcMar>
          </w:tcPr>
          <w:p>
            <w:pPr>
              <w:spacing w:after="0"/>
            </w:pPr>
            <w:r>
              <w:rPr>
                <w:rFonts w:ascii="Aptos" w:hAnsi="Aptos" w:eastAsia="Aptos"/>
                <w:sz w:val="15"/>
              </w:rPr>
              <w:t>Compare tellings, provenance, interpretation and performance ethics</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5"/>
              </w:rPr>
              <w:t>History and cities</w:t>
            </w:r>
          </w:p>
        </w:tc>
        <w:tc>
          <w:tcPr>
            <w:tcW w:type="dxa" w:w="2770"/>
            <w:vAlign w:val="top"/>
            <w:tcMar>
              <w:top w:w="80" w:type="dxa"/>
              <w:start w:w="120" w:type="dxa"/>
              <w:bottom w:w="80" w:type="dxa"/>
              <w:end w:w="120" w:type="dxa"/>
            </w:tcMar>
          </w:tcPr>
          <w:p>
            <w:pPr>
              <w:spacing w:after="0"/>
            </w:pPr>
            <w:r>
              <w:rPr>
                <w:rFonts w:ascii="Aptos" w:hAnsi="Aptos" w:eastAsia="Aptos"/>
                <w:sz w:val="15"/>
              </w:rPr>
              <w:t>Museum, university, archive or public-history source</w:t>
            </w:r>
          </w:p>
        </w:tc>
        <w:tc>
          <w:tcPr>
            <w:tcW w:type="dxa" w:w="2900"/>
            <w:vAlign w:val="top"/>
            <w:tcMar>
              <w:top w:w="80" w:type="dxa"/>
              <w:start w:w="120" w:type="dxa"/>
              <w:bottom w:w="80" w:type="dxa"/>
              <w:end w:w="120" w:type="dxa"/>
            </w:tcMar>
          </w:tcPr>
          <w:p>
            <w:pPr>
              <w:spacing w:after="0"/>
            </w:pPr>
            <w:r>
              <w:rPr>
                <w:rFonts w:ascii="Aptos" w:hAnsi="Aptos" w:eastAsia="Aptos"/>
                <w:sz w:val="15"/>
              </w:rPr>
              <w:t>Build a dated vocabulary card, map or timeline</w:t>
            </w:r>
          </w:p>
        </w:tc>
        <w:tc>
          <w:tcPr>
            <w:tcW w:type="dxa" w:w="1990"/>
            <w:vAlign w:val="top"/>
            <w:tcMar>
              <w:top w:w="80" w:type="dxa"/>
              <w:start w:w="120" w:type="dxa"/>
              <w:bottom w:w="80" w:type="dxa"/>
              <w:end w:w="120" w:type="dxa"/>
            </w:tcMar>
          </w:tcPr>
          <w:p>
            <w:pPr>
              <w:spacing w:after="0"/>
            </w:pPr>
            <w:r>
              <w:rPr>
                <w:rFonts w:ascii="Aptos" w:hAnsi="Aptos" w:eastAsia="Aptos"/>
                <w:sz w:val="15"/>
              </w:rPr>
              <w:t>Compare oral, archaeological, archival and contemporary claims; display uncertainty</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5"/>
              </w:rPr>
              <w:t>Celebrities and contemporary voices</w:t>
            </w:r>
          </w:p>
        </w:tc>
        <w:tc>
          <w:tcPr>
            <w:tcW w:type="dxa" w:w="2770"/>
            <w:vAlign w:val="top"/>
            <w:tcMar>
              <w:top w:w="80" w:type="dxa"/>
              <w:start w:w="120" w:type="dxa"/>
              <w:bottom w:w="80" w:type="dxa"/>
              <w:end w:w="120" w:type="dxa"/>
            </w:tcMar>
          </w:tcPr>
          <w:p>
            <w:pPr>
              <w:spacing w:after="0"/>
            </w:pPr>
            <w:r>
              <w:rPr>
                <w:rFonts w:ascii="Aptos" w:hAnsi="Aptos" w:eastAsia="Aptos"/>
                <w:sz w:val="15"/>
              </w:rPr>
              <w:t>Attributable interview, profile, speech or performance</w:t>
            </w:r>
          </w:p>
        </w:tc>
        <w:tc>
          <w:tcPr>
            <w:tcW w:type="dxa" w:w="2900"/>
            <w:vAlign w:val="top"/>
            <w:tcMar>
              <w:top w:w="80" w:type="dxa"/>
              <w:start w:w="120" w:type="dxa"/>
              <w:bottom w:w="80" w:type="dxa"/>
              <w:end w:w="120" w:type="dxa"/>
            </w:tcMar>
          </w:tcPr>
          <w:p>
            <w:pPr>
              <w:spacing w:after="0"/>
            </w:pPr>
            <w:r>
              <w:rPr>
                <w:rFonts w:ascii="Aptos" w:hAnsi="Aptos" w:eastAsia="Aptos"/>
                <w:sz w:val="15"/>
              </w:rPr>
              <w:t>Track stance, register and code choice; summarize observable evidence</w:t>
            </w:r>
          </w:p>
        </w:tc>
        <w:tc>
          <w:tcPr>
            <w:tcW w:type="dxa" w:w="1990"/>
            <w:vAlign w:val="top"/>
            <w:tcMar>
              <w:top w:w="80" w:type="dxa"/>
              <w:start w:w="120" w:type="dxa"/>
              <w:bottom w:w="80" w:type="dxa"/>
              <w:end w:w="120" w:type="dxa"/>
            </w:tcMar>
          </w:tcPr>
          <w:p>
            <w:pPr>
              <w:spacing w:after="0"/>
            </w:pPr>
            <w:r>
              <w:rPr>
                <w:rFonts w:ascii="Aptos" w:hAnsi="Aptos" w:eastAsia="Aptos"/>
                <w:sz w:val="15"/>
              </w:rPr>
              <w:t>Distinguish person, public role and representation; avoid unsupported biography or gossip</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5"/>
              </w:rPr>
              <w:t>Movies and television</w:t>
            </w:r>
          </w:p>
        </w:tc>
        <w:tc>
          <w:tcPr>
            <w:tcW w:type="dxa" w:w="2770"/>
            <w:vAlign w:val="top"/>
            <w:tcMar>
              <w:top w:w="80" w:type="dxa"/>
              <w:start w:w="120" w:type="dxa"/>
              <w:bottom w:w="80" w:type="dxa"/>
              <w:end w:w="120" w:type="dxa"/>
            </w:tcMar>
          </w:tcPr>
          <w:p>
            <w:pPr>
              <w:spacing w:after="0"/>
            </w:pPr>
            <w:r>
              <w:rPr>
                <w:rFonts w:ascii="Aptos" w:hAnsi="Aptos" w:eastAsia="Aptos"/>
                <w:sz w:val="15"/>
              </w:rPr>
              <w:t>Official trailer, broadcaster clip, filmmaker page or licensed scene</w:t>
            </w:r>
          </w:p>
        </w:tc>
        <w:tc>
          <w:tcPr>
            <w:tcW w:type="dxa" w:w="2900"/>
            <w:vAlign w:val="top"/>
            <w:tcMar>
              <w:top w:w="80" w:type="dxa"/>
              <w:start w:w="120" w:type="dxa"/>
              <w:bottom w:w="80" w:type="dxa"/>
              <w:end w:w="120" w:type="dxa"/>
            </w:tcMar>
          </w:tcPr>
          <w:p>
            <w:pPr>
              <w:spacing w:after="0"/>
            </w:pPr>
            <w:r>
              <w:rPr>
                <w:rFonts w:ascii="Aptos" w:hAnsi="Aptos" w:eastAsia="Aptos"/>
                <w:sz w:val="15"/>
              </w:rPr>
              <w:t>Create a time-coded scene log; analyze character voice and code-switching</w:t>
            </w:r>
          </w:p>
        </w:tc>
        <w:tc>
          <w:tcPr>
            <w:tcW w:type="dxa" w:w="1990"/>
            <w:vAlign w:val="top"/>
            <w:tcMar>
              <w:top w:w="80" w:type="dxa"/>
              <w:start w:w="120" w:type="dxa"/>
              <w:bottom w:w="80" w:type="dxa"/>
              <w:end w:w="120" w:type="dxa"/>
            </w:tcMar>
          </w:tcPr>
          <w:p>
            <w:pPr>
              <w:spacing w:after="0"/>
            </w:pPr>
            <w:r>
              <w:rPr>
                <w:rFonts w:ascii="Aptos" w:hAnsi="Aptos" w:eastAsia="Aptos"/>
                <w:sz w:val="15"/>
              </w:rPr>
              <w:t>Critique representation, adaptation, audience and production context</w:t>
            </w:r>
          </w:p>
        </w:tc>
      </w:tr>
      <w:tr>
        <w:trPr>
          <w:cantSplit/>
        </w:trPr>
        <w:tc>
          <w:tcPr>
            <w:tcW w:type="dxa" w:w="1700"/>
            <w:vAlign w:val="top"/>
            <w:tcMar>
              <w:top w:w="80" w:type="dxa"/>
              <w:start w:w="120" w:type="dxa"/>
              <w:bottom w:w="80" w:type="dxa"/>
              <w:end w:w="120" w:type="dxa"/>
            </w:tcMar>
          </w:tcPr>
          <w:p>
            <w:pPr>
              <w:spacing w:after="0"/>
            </w:pPr>
            <w:r>
              <w:rPr>
                <w:rFonts w:ascii="Aptos" w:hAnsi="Aptos" w:eastAsia="Aptos"/>
                <w:sz w:val="15"/>
              </w:rPr>
              <w:t>Fashion, music and visual culture</w:t>
            </w:r>
          </w:p>
        </w:tc>
        <w:tc>
          <w:tcPr>
            <w:tcW w:type="dxa" w:w="2770"/>
            <w:vAlign w:val="top"/>
            <w:tcMar>
              <w:top w:w="80" w:type="dxa"/>
              <w:start w:w="120" w:type="dxa"/>
              <w:bottom w:w="80" w:type="dxa"/>
              <w:end w:w="120" w:type="dxa"/>
            </w:tcMar>
          </w:tcPr>
          <w:p>
            <w:pPr>
              <w:spacing w:after="0"/>
            </w:pPr>
            <w:r>
              <w:rPr>
                <w:rFonts w:ascii="Aptos" w:hAnsi="Aptos" w:eastAsia="Aptos"/>
                <w:sz w:val="15"/>
              </w:rPr>
              <w:t>Museum resource, maker interview, performance or university program</w:t>
            </w:r>
          </w:p>
        </w:tc>
        <w:tc>
          <w:tcPr>
            <w:tcW w:type="dxa" w:w="2900"/>
            <w:vAlign w:val="top"/>
            <w:tcMar>
              <w:top w:w="80" w:type="dxa"/>
              <w:start w:w="120" w:type="dxa"/>
              <w:bottom w:w="80" w:type="dxa"/>
              <w:end w:w="120" w:type="dxa"/>
            </w:tcMar>
          </w:tcPr>
          <w:p>
            <w:pPr>
              <w:spacing w:after="0"/>
            </w:pPr>
            <w:r>
              <w:rPr>
                <w:rFonts w:ascii="Aptos" w:hAnsi="Aptos" w:eastAsia="Aptos"/>
                <w:sz w:val="15"/>
              </w:rPr>
              <w:t>Describe, compare and credit; create a review or gallery card</w:t>
            </w:r>
          </w:p>
        </w:tc>
        <w:tc>
          <w:tcPr>
            <w:tcW w:type="dxa" w:w="1990"/>
            <w:vAlign w:val="top"/>
            <w:tcMar>
              <w:top w:w="80" w:type="dxa"/>
              <w:start w:w="120" w:type="dxa"/>
              <w:bottom w:w="80" w:type="dxa"/>
              <w:end w:w="120" w:type="dxa"/>
            </w:tcMar>
          </w:tcPr>
          <w:p>
            <w:pPr>
              <w:spacing w:after="0"/>
            </w:pPr>
            <w:r>
              <w:rPr>
                <w:rFonts w:ascii="Aptos" w:hAnsi="Aptos" w:eastAsia="Aptos"/>
                <w:sz w:val="15"/>
              </w:rPr>
              <w:t>Do not invent motif meanings; connect form, maker, context, commerce and audience</w:t>
            </w:r>
          </w:p>
        </w:tc>
      </w:tr>
    </w:tbl>
    <w:p>
      <w:pPr>
        <w:pStyle w:val="Heading2"/>
      </w:pPr>
      <w:r>
        <w:t>2. Core media map</w:t>
      </w:r>
    </w:p>
    <w:tbl>
      <w:tblPr>
        <w:tblStyle w:val="TableGrid"/>
        <w:tblW w:type="dxa" w:w="9360"/>
        <w:jc w:val="left"/>
        <w:tblLayout w:type="fixed"/>
        <w:tblLook w:firstColumn="1" w:firstRow="1" w:lastColumn="0" w:lastRow="0" w:noHBand="0" w:noVBand="1" w:val="04A0"/>
        <w:tblInd w:w="120" w:type="dxa"/>
      </w:tblPr>
      <w:tblGrid>
        <w:gridCol w:w="1900"/>
        <w:gridCol w:w="4610"/>
        <w:gridCol w:w="2850"/>
      </w:tblGrid>
      <w:tr>
        <w:trPr>
          <w:tblHeader w:val="true"/>
          <w:cantSplit/>
        </w:trPr>
        <w:tc>
          <w:tcPr>
            <w:tcW w:type="dxa" w:w="1900"/>
            <w:shd w:fill="E8EEF5"/>
            <w:vAlign w:val="center"/>
            <w:tcMar>
              <w:top w:w="80" w:type="dxa"/>
              <w:start w:w="120" w:type="dxa"/>
              <w:bottom w:w="80" w:type="dxa"/>
              <w:end w:w="120" w:type="dxa"/>
            </w:tcMar>
          </w:tcPr>
          <w:p>
            <w:pPr>
              <w:spacing w:after="0"/>
            </w:pPr>
            <w:r>
              <w:rPr>
                <w:rFonts w:ascii="Aptos" w:hAnsi="Aptos" w:eastAsia="Aptos"/>
                <w:b/>
                <w:color w:val="0B2545"/>
                <w:sz w:val="16"/>
              </w:rPr>
              <w:t>Resource</w:t>
            </w:r>
          </w:p>
        </w:tc>
        <w:tc>
          <w:tcPr>
            <w:tcW w:type="dxa" w:w="4610"/>
            <w:shd w:fill="E8EEF5"/>
            <w:vAlign w:val="center"/>
            <w:tcMar>
              <w:top w:w="80" w:type="dxa"/>
              <w:start w:w="120" w:type="dxa"/>
              <w:bottom w:w="80" w:type="dxa"/>
              <w:end w:w="120" w:type="dxa"/>
            </w:tcMar>
          </w:tcPr>
          <w:p>
            <w:pPr>
              <w:spacing w:after="0"/>
            </w:pPr>
            <w:r>
              <w:rPr>
                <w:rFonts w:ascii="Aptos" w:hAnsi="Aptos" w:eastAsia="Aptos"/>
                <w:b/>
                <w:color w:val="0B2545"/>
                <w:sz w:val="16"/>
              </w:rPr>
              <w:t>Use</w:t>
            </w:r>
          </w:p>
        </w:tc>
        <w:tc>
          <w:tcPr>
            <w:tcW w:type="dxa" w:w="2850"/>
            <w:shd w:fill="E8EEF5"/>
            <w:vAlign w:val="center"/>
            <w:tcMar>
              <w:top w:w="80" w:type="dxa"/>
              <w:start w:w="120" w:type="dxa"/>
              <w:bottom w:w="80" w:type="dxa"/>
              <w:end w:w="120" w:type="dxa"/>
            </w:tcMar>
          </w:tcPr>
          <w:p>
            <w:pPr>
              <w:spacing w:after="0"/>
            </w:pPr>
            <w:r>
              <w:rPr>
                <w:rFonts w:ascii="Aptos" w:hAnsi="Aptos" w:eastAsia="Aptos"/>
                <w:b/>
                <w:color w:val="0B2545"/>
                <w:sz w:val="16"/>
              </w:rPr>
              <w:t>Course placement</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Yorùbá Lessons with Adérónkẹ́ (YouTube)</w:t>
            </w:r>
          </w:p>
        </w:tc>
        <w:tc>
          <w:tcPr>
            <w:tcW w:type="dxa" w:w="4610"/>
            <w:vAlign w:val="top"/>
            <w:tcMar>
              <w:top w:w="80" w:type="dxa"/>
              <w:start w:w="120" w:type="dxa"/>
              <w:bottom w:w="80" w:type="dxa"/>
              <w:end w:w="120" w:type="dxa"/>
            </w:tcMar>
          </w:tcPr>
          <w:p>
            <w:pPr>
              <w:spacing w:after="0"/>
            </w:pPr>
            <w:r>
              <w:rPr>
                <w:rFonts w:ascii="Aptos" w:hAnsi="Aptos" w:eastAsia="Aptos"/>
                <w:sz w:val="16"/>
              </w:rPr>
              <w:t>Search the channel for alphabet, tonal marks, pronunciation, numbers, and the exact target of the week; use a verified channel/search result rather than an invented video title.</w:t>
            </w:r>
          </w:p>
        </w:tc>
        <w:tc>
          <w:tcPr>
            <w:tcW w:type="dxa" w:w="2850"/>
            <w:vAlign w:val="top"/>
            <w:tcMar>
              <w:top w:w="80" w:type="dxa"/>
              <w:start w:w="120" w:type="dxa"/>
              <w:bottom w:w="80" w:type="dxa"/>
              <w:end w:w="120" w:type="dxa"/>
            </w:tcMar>
          </w:tcPr>
          <w:p>
            <w:pPr>
              <w:spacing w:after="0"/>
            </w:pPr>
            <w:r>
              <w:rPr>
                <w:rFonts w:ascii="Aptos" w:hAnsi="Aptos" w:eastAsia="Aptos"/>
                <w:sz w:val="16"/>
              </w:rPr>
              <w:t>Modules 1-2 pronunciation lab; later cultural/lexical reference</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I Speak Yoruba Too (YouTube)</w:t>
            </w:r>
          </w:p>
        </w:tc>
        <w:tc>
          <w:tcPr>
            <w:tcW w:type="dxa" w:w="4610"/>
            <w:vAlign w:val="top"/>
            <w:tcMar>
              <w:top w:w="80" w:type="dxa"/>
              <w:start w:w="120" w:type="dxa"/>
              <w:bottom w:w="80" w:type="dxa"/>
              <w:end w:w="120" w:type="dxa"/>
            </w:tcMar>
          </w:tcPr>
          <w:p>
            <w:pPr>
              <w:spacing w:after="0"/>
            </w:pPr>
            <w:r>
              <w:rPr>
                <w:rFonts w:ascii="Aptos" w:hAnsi="Aptos" w:eastAsia="Aptos"/>
                <w:sz w:val="16"/>
              </w:rPr>
              <w:t>Channel describes alphabet/tone marks, everyday conversation, proverbs, culture, pronunciation tips, and podcasts.</w:t>
            </w:r>
          </w:p>
        </w:tc>
        <w:tc>
          <w:tcPr>
            <w:tcW w:type="dxa" w:w="2850"/>
            <w:vAlign w:val="top"/>
            <w:tcMar>
              <w:top w:w="80" w:type="dxa"/>
              <w:start w:w="120" w:type="dxa"/>
              <w:bottom w:w="80" w:type="dxa"/>
              <w:end w:w="120" w:type="dxa"/>
            </w:tcMar>
          </w:tcPr>
          <w:p>
            <w:pPr>
              <w:spacing w:after="0"/>
            </w:pPr>
            <w:r>
              <w:rPr>
                <w:rFonts w:ascii="Aptos" w:hAnsi="Aptos" w:eastAsia="Aptos"/>
                <w:sz w:val="16"/>
              </w:rPr>
              <w:t>Modules 1-3; shadowing and sentence frames</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Learn Yoruba online (YouTube search)</w:t>
            </w:r>
          </w:p>
        </w:tc>
        <w:tc>
          <w:tcPr>
            <w:tcW w:type="dxa" w:w="4610"/>
            <w:vAlign w:val="top"/>
            <w:tcMar>
              <w:top w:w="80" w:type="dxa"/>
              <w:start w:w="120" w:type="dxa"/>
              <w:bottom w:w="80" w:type="dxa"/>
              <w:end w:w="120" w:type="dxa"/>
            </w:tcMar>
          </w:tcPr>
          <w:p>
            <w:pPr>
              <w:spacing w:after="0"/>
            </w:pPr>
            <w:r>
              <w:rPr>
                <w:rFonts w:ascii="Aptos" w:hAnsi="Aptos" w:eastAsia="Aptos"/>
                <w:sz w:val="16"/>
              </w:rPr>
              <w:t>Use the exact query 'Learn Yoruba online alphabet tone marks pronunciation'; confirm speaker, markings, and sequence before adding to the log.</w:t>
            </w:r>
          </w:p>
        </w:tc>
        <w:tc>
          <w:tcPr>
            <w:tcW w:type="dxa" w:w="2850"/>
            <w:vAlign w:val="top"/>
            <w:tcMar>
              <w:top w:w="80" w:type="dxa"/>
              <w:start w:w="120" w:type="dxa"/>
              <w:bottom w:w="80" w:type="dxa"/>
              <w:end w:w="120" w:type="dxa"/>
            </w:tcMar>
          </w:tcPr>
          <w:p>
            <w:pPr>
              <w:spacing w:after="0"/>
            </w:pPr>
            <w:r>
              <w:rPr>
                <w:rFonts w:ascii="Aptos" w:hAnsi="Aptos" w:eastAsia="Aptos"/>
                <w:sz w:val="16"/>
              </w:rPr>
              <w:t>Module 1 supplementary input</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FSI Yoruba Basic Course via Live Lingua</w:t>
            </w:r>
          </w:p>
        </w:tc>
        <w:tc>
          <w:tcPr>
            <w:tcW w:type="dxa" w:w="4610"/>
            <w:vAlign w:val="top"/>
            <w:tcMar>
              <w:top w:w="80" w:type="dxa"/>
              <w:start w:w="120" w:type="dxa"/>
              <w:bottom w:w="80" w:type="dxa"/>
              <w:end w:w="120" w:type="dxa"/>
            </w:tcMar>
          </w:tcPr>
          <w:p>
            <w:pPr>
              <w:spacing w:after="0"/>
            </w:pPr>
            <w:r>
              <w:rPr>
                <w:rFonts w:ascii="Aptos" w:hAnsi="Aptos" w:eastAsia="Aptos"/>
                <w:sz w:val="16"/>
              </w:rPr>
              <w:t>Older public drill materials and audio; useful for repetition and listening stamina. Label dated vocabulary/register and cross-check modern standard usage.</w:t>
            </w:r>
          </w:p>
        </w:tc>
        <w:tc>
          <w:tcPr>
            <w:tcW w:type="dxa" w:w="2850"/>
            <w:vAlign w:val="top"/>
            <w:tcMar>
              <w:top w:w="80" w:type="dxa"/>
              <w:start w:w="120" w:type="dxa"/>
              <w:bottom w:w="80" w:type="dxa"/>
              <w:end w:w="120" w:type="dxa"/>
            </w:tcMar>
          </w:tcPr>
          <w:p>
            <w:pPr>
              <w:spacing w:after="0"/>
            </w:pPr>
            <w:r>
              <w:rPr>
                <w:rFonts w:ascii="Aptos" w:hAnsi="Aptos" w:eastAsia="Aptos"/>
                <w:sz w:val="16"/>
              </w:rPr>
              <w:t>Modules 1-2 drill supplement</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Yorùbá Yé Mi (COERLL, University of Texas)</w:t>
            </w:r>
          </w:p>
        </w:tc>
        <w:tc>
          <w:tcPr>
            <w:tcW w:type="dxa" w:w="4610"/>
            <w:vAlign w:val="top"/>
            <w:tcMar>
              <w:top w:w="80" w:type="dxa"/>
              <w:start w:w="120" w:type="dxa"/>
              <w:bottom w:w="80" w:type="dxa"/>
              <w:end w:w="120" w:type="dxa"/>
            </w:tcMar>
          </w:tcPr>
          <w:p>
            <w:pPr>
              <w:spacing w:after="0"/>
            </w:pPr>
            <w:r>
              <w:rPr>
                <w:rFonts w:ascii="Aptos" w:hAnsi="Aptos" w:eastAsia="Aptos"/>
                <w:sz w:val="16"/>
              </w:rPr>
              <w:t>Open educational textbook/audio ecosystem with a searchable glossary and standard pedagogical material.</w:t>
            </w:r>
          </w:p>
        </w:tc>
        <w:tc>
          <w:tcPr>
            <w:tcW w:type="dxa" w:w="2850"/>
            <w:vAlign w:val="top"/>
            <w:tcMar>
              <w:top w:w="80" w:type="dxa"/>
              <w:start w:w="120" w:type="dxa"/>
              <w:bottom w:w="80" w:type="dxa"/>
              <w:end w:w="120" w:type="dxa"/>
            </w:tcMar>
          </w:tcPr>
          <w:p>
            <w:pPr>
              <w:spacing w:after="0"/>
            </w:pPr>
            <w:r>
              <w:rPr>
                <w:rFonts w:ascii="Aptos" w:hAnsi="Aptos" w:eastAsia="Aptos"/>
                <w:sz w:val="16"/>
              </w:rPr>
              <w:t>Modules 1-3 reference and validation</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BBC Yorùbá</w:t>
            </w:r>
          </w:p>
        </w:tc>
        <w:tc>
          <w:tcPr>
            <w:tcW w:type="dxa" w:w="4610"/>
            <w:vAlign w:val="top"/>
            <w:tcMar>
              <w:top w:w="80" w:type="dxa"/>
              <w:start w:w="120" w:type="dxa"/>
              <w:bottom w:w="80" w:type="dxa"/>
              <w:end w:w="120" w:type="dxa"/>
            </w:tcMar>
          </w:tcPr>
          <w:p>
            <w:pPr>
              <w:spacing w:after="0"/>
            </w:pPr>
            <w:r>
              <w:rPr>
                <w:rFonts w:ascii="Aptos" w:hAnsi="Aptos" w:eastAsia="Aptos"/>
                <w:sz w:val="16"/>
              </w:rPr>
              <w:t>Professional news/media input. Start with headline/gist work and move to full report, quotation, stance, and bulletin production.</w:t>
            </w:r>
          </w:p>
        </w:tc>
        <w:tc>
          <w:tcPr>
            <w:tcW w:type="dxa" w:w="2850"/>
            <w:vAlign w:val="top"/>
            <w:tcMar>
              <w:top w:w="80" w:type="dxa"/>
              <w:start w:w="120" w:type="dxa"/>
              <w:bottom w:w="80" w:type="dxa"/>
              <w:end w:w="120" w:type="dxa"/>
            </w:tcMar>
          </w:tcPr>
          <w:p>
            <w:pPr>
              <w:spacing w:after="0"/>
            </w:pPr>
            <w:r>
              <w:rPr>
                <w:rFonts w:ascii="Aptos" w:hAnsi="Aptos" w:eastAsia="Aptos"/>
                <w:sz w:val="16"/>
              </w:rPr>
              <w:t>Modules 3-4 media literacy</w:t>
            </w:r>
          </w:p>
        </w:tc>
      </w:tr>
      <w:tr>
        <w:trPr>
          <w:cantSplit/>
        </w:trPr>
        <w:tc>
          <w:tcPr>
            <w:tcW w:type="dxa" w:w="1900"/>
            <w:vAlign w:val="top"/>
            <w:tcMar>
              <w:top w:w="80" w:type="dxa"/>
              <w:start w:w="120" w:type="dxa"/>
              <w:bottom w:w="80" w:type="dxa"/>
              <w:end w:w="120" w:type="dxa"/>
            </w:tcMar>
          </w:tcPr>
          <w:p>
            <w:pPr>
              <w:spacing w:after="0"/>
            </w:pPr>
            <w:r>
              <w:rPr>
                <w:rFonts w:ascii="Aptos" w:hAnsi="Aptos" w:eastAsia="Aptos"/>
                <w:sz w:val="16"/>
              </w:rPr>
              <w:t>WAEC Yorùbá e-learning</w:t>
            </w:r>
          </w:p>
        </w:tc>
        <w:tc>
          <w:tcPr>
            <w:tcW w:type="dxa" w:w="4610"/>
            <w:vAlign w:val="top"/>
            <w:tcMar>
              <w:top w:w="80" w:type="dxa"/>
              <w:start w:w="120" w:type="dxa"/>
              <w:bottom w:w="80" w:type="dxa"/>
              <w:end w:w="120" w:type="dxa"/>
            </w:tcMar>
          </w:tcPr>
          <w:p>
            <w:pPr>
              <w:spacing w:after="0"/>
            </w:pPr>
            <w:r>
              <w:rPr>
                <w:rFonts w:ascii="Aptos" w:hAnsi="Aptos" w:eastAsia="Aptos"/>
                <w:sz w:val="16"/>
              </w:rPr>
              <w:t>Past questions, examiner comments, strengths, weaknesses, and expected standards.</w:t>
            </w:r>
          </w:p>
        </w:tc>
        <w:tc>
          <w:tcPr>
            <w:tcW w:type="dxa" w:w="2850"/>
            <w:vAlign w:val="top"/>
            <w:tcMar>
              <w:top w:w="80" w:type="dxa"/>
              <w:start w:w="120" w:type="dxa"/>
              <w:bottom w:w="80" w:type="dxa"/>
              <w:end w:w="120" w:type="dxa"/>
            </w:tcMar>
          </w:tcPr>
          <w:p>
            <w:pPr>
              <w:spacing w:after="0"/>
            </w:pPr>
            <w:r>
              <w:rPr>
                <w:rFonts w:ascii="Aptos" w:hAnsi="Aptos" w:eastAsia="Aptos"/>
                <w:sz w:val="16"/>
              </w:rPr>
              <w:t>Modules 3-4 exam benchmarking</w:t>
            </w:r>
          </w:p>
        </w:tc>
      </w:tr>
    </w:tbl>
    <w:p>
      <w:pPr>
        <w:pStyle w:val="Heading2"/>
      </w:pPr>
      <w:r>
        <w:t>3. Resource vetting checklist</w:t>
      </w:r>
    </w:p>
    <w:p>
      <w:pPr>
        <w:pStyle w:val="ListBullet"/>
        <w:spacing w:after="80" w:line="300" w:lineRule="auto"/>
      </w:pPr>
      <w:r>
        <w:t>Does pedagogical text preserve ẹ, ọ, ṣ and tone marks, or clearly label why a source omits them?</w:t>
      </w:r>
    </w:p>
    <w:p>
      <w:pPr>
        <w:pStyle w:val="ListBullet"/>
        <w:spacing w:after="80" w:line="300" w:lineRule="auto"/>
      </w:pPr>
      <w:r>
        <w:t>Is the speaker/model identified, audible, and consistent enough for shadowing?</w:t>
      </w:r>
    </w:p>
    <w:p>
      <w:pPr>
        <w:pStyle w:val="ListBullet"/>
        <w:spacing w:after="80" w:line="300" w:lineRule="auto"/>
      </w:pPr>
      <w:r>
        <w:t>Does the resource distinguish Standard Yorùbá from dialect, slang, Pidgin, or casual reduction?</w:t>
      </w:r>
    </w:p>
    <w:p>
      <w:pPr>
        <w:pStyle w:val="ListBullet"/>
        <w:spacing w:after="80" w:line="300" w:lineRule="auto"/>
      </w:pPr>
      <w:r>
        <w:t>Are culture claims sourced, located, and free of universalizing language?</w:t>
      </w:r>
    </w:p>
    <w:p>
      <w:pPr>
        <w:pStyle w:val="ListBullet"/>
        <w:spacing w:after="80" w:line="300" w:lineRule="auto"/>
      </w:pPr>
      <w:r>
        <w:t>Can the task generate evidence: a transcript, recording, annotation, or corrected output?</w:t>
      </w:r>
    </w:p>
    <w:p>
      <w:pPr>
        <w:pStyle w:val="ListBullet"/>
        <w:spacing w:after="80" w:line="300" w:lineRule="auto"/>
      </w:pPr>
      <w:r>
        <w:t>Is the link current, lawful to use, and limited to summary/short pedagogical quotation rather than copied copyrighted content?</w:t>
      </w:r>
    </w:p>
    <w:p>
      <w:pPr>
        <w:pStyle w:val="Heading2"/>
      </w:pPr>
      <w:r>
        <w:t>4. Keyboard and text-entry practice</w:t>
      </w:r>
    </w:p>
    <w:p>
      <w:r>
        <w:t>Keep a personal line of verified characters for copying during setup: ẹ Ẹ ọ Ọ ṣ Ṣ á à é è ẹ́ ẹ̀ í ì ó ò ọ́ ọ̀ ú ù ń ǹ. On Windows, macOS, iOS, Android, and web editors, choose an input method that supports Unicode combining acute/grave accents and the precomposed underdotted letters. Test the result by saving, reopening, copying into a browser, and printing/exporting. Never submit plain e/o/s as a substitute for ẹ/ọ/ṣ in pedagogical work.</w:t>
      </w:r>
    </w:p>
    <w:p>
      <w:pPr>
        <w:pStyle w:val="Heading2"/>
      </w:pPr>
      <w:r>
        <w:t>5. Spaced-repetition card specification</w:t>
      </w:r>
    </w:p>
    <w:tbl>
      <w:tblPr>
        <w:tblStyle w:val="TableGrid"/>
        <w:tblW w:type="dxa" w:w="9360"/>
        <w:jc w:val="left"/>
        <w:tblLayout w:type="fixed"/>
        <w:tblLook w:firstColumn="1" w:firstRow="1" w:lastColumn="0" w:lastRow="0" w:noHBand="0" w:noVBand="1" w:val="04A0"/>
        <w:tblInd w:w="120" w:type="dxa"/>
      </w:tblPr>
      <w:tblGrid>
        <w:gridCol w:w="2000"/>
        <w:gridCol w:w="7360"/>
      </w:tblGrid>
      <w:tr>
        <w:trPr>
          <w:tblHeader w:val="true"/>
          <w:cantSplit/>
        </w:trPr>
        <w:tc>
          <w:tcPr>
            <w:tcW w:type="dxa" w:w="2000"/>
            <w:shd w:fill="E8EEF5"/>
            <w:vAlign w:val="center"/>
            <w:tcMar>
              <w:top w:w="80" w:type="dxa"/>
              <w:start w:w="120" w:type="dxa"/>
              <w:bottom w:w="80" w:type="dxa"/>
              <w:end w:w="120" w:type="dxa"/>
            </w:tcMar>
          </w:tcPr>
          <w:p>
            <w:pPr>
              <w:spacing w:after="0"/>
            </w:pPr>
            <w:r>
              <w:rPr>
                <w:rFonts w:ascii="Aptos" w:hAnsi="Aptos" w:eastAsia="Aptos"/>
                <w:b/>
                <w:color w:val="0B2545"/>
                <w:sz w:val="18"/>
              </w:rPr>
              <w:t>Field</w:t>
            </w:r>
          </w:p>
        </w:tc>
        <w:tc>
          <w:tcPr>
            <w:tcW w:type="dxa" w:w="7360"/>
            <w:shd w:fill="E8EEF5"/>
            <w:vAlign w:val="center"/>
            <w:tcMar>
              <w:top w:w="80" w:type="dxa"/>
              <w:start w:w="120" w:type="dxa"/>
              <w:bottom w:w="80" w:type="dxa"/>
              <w:end w:w="120" w:type="dxa"/>
            </w:tcMar>
          </w:tcPr>
          <w:p>
            <w:pPr>
              <w:spacing w:after="0"/>
            </w:pPr>
            <w:r>
              <w:rPr>
                <w:rFonts w:ascii="Aptos" w:hAnsi="Aptos" w:eastAsia="Aptos"/>
                <w:b/>
                <w:color w:val="0B2545"/>
                <w:sz w:val="18"/>
              </w:rPr>
              <w:t>Requirement</w:t>
            </w:r>
          </w:p>
        </w:tc>
      </w:tr>
      <w:tr>
        <w:trPr>
          <w:cantSplit/>
        </w:trPr>
        <w:tc>
          <w:tcPr>
            <w:tcW w:type="dxa" w:w="2000"/>
            <w:vAlign w:val="top"/>
            <w:tcMar>
              <w:top w:w="80" w:type="dxa"/>
              <w:start w:w="120" w:type="dxa"/>
              <w:bottom w:w="80" w:type="dxa"/>
              <w:end w:w="120" w:type="dxa"/>
            </w:tcMar>
          </w:tcPr>
          <w:p>
            <w:pPr>
              <w:spacing w:after="0"/>
            </w:pPr>
            <w:r>
              <w:rPr>
                <w:rFonts w:ascii="Aptos" w:hAnsi="Aptos" w:eastAsia="Aptos"/>
                <w:sz w:val="18"/>
              </w:rPr>
              <w:t>Front</w:t>
            </w:r>
          </w:p>
        </w:tc>
        <w:tc>
          <w:tcPr>
            <w:tcW w:type="dxa" w:w="7360"/>
            <w:vAlign w:val="top"/>
            <w:tcMar>
              <w:top w:w="80" w:type="dxa"/>
              <w:start w:w="120" w:type="dxa"/>
              <w:bottom w:w="80" w:type="dxa"/>
              <w:end w:w="120" w:type="dxa"/>
            </w:tcMar>
          </w:tcPr>
          <w:p>
            <w:pPr>
              <w:spacing w:after="0"/>
            </w:pPr>
            <w:r>
              <w:rPr>
                <w:rFonts w:ascii="Aptos" w:hAnsi="Aptos" w:eastAsia="Aptos"/>
                <w:sz w:val="18"/>
              </w:rPr>
              <w:t>Audio first where possible; otherwise a picture/meaning prompt, not an unmarked Yorùbá cue.</w:t>
            </w:r>
          </w:p>
        </w:tc>
      </w:tr>
      <w:tr>
        <w:trPr>
          <w:cantSplit/>
        </w:trPr>
        <w:tc>
          <w:tcPr>
            <w:tcW w:type="dxa" w:w="2000"/>
            <w:vAlign w:val="top"/>
            <w:tcMar>
              <w:top w:w="80" w:type="dxa"/>
              <w:start w:w="120" w:type="dxa"/>
              <w:bottom w:w="80" w:type="dxa"/>
              <w:end w:w="120" w:type="dxa"/>
            </w:tcMar>
          </w:tcPr>
          <w:p>
            <w:pPr>
              <w:spacing w:after="0"/>
            </w:pPr>
            <w:r>
              <w:rPr>
                <w:rFonts w:ascii="Aptos" w:hAnsi="Aptos" w:eastAsia="Aptos"/>
                <w:sz w:val="18"/>
              </w:rPr>
              <w:t>Back</w:t>
            </w:r>
          </w:p>
        </w:tc>
        <w:tc>
          <w:tcPr>
            <w:tcW w:type="dxa" w:w="7360"/>
            <w:vAlign w:val="top"/>
            <w:tcMar>
              <w:top w:w="80" w:type="dxa"/>
              <w:start w:w="120" w:type="dxa"/>
              <w:bottom w:w="80" w:type="dxa"/>
              <w:end w:w="120" w:type="dxa"/>
            </w:tcMar>
          </w:tcPr>
          <w:p>
            <w:pPr>
              <w:spacing w:after="0"/>
            </w:pPr>
            <w:r>
              <w:rPr>
                <w:rFonts w:ascii="Aptos" w:hAnsi="Aptos" w:eastAsia="Aptos"/>
                <w:sz w:val="18"/>
              </w:rPr>
              <w:t>Fully marked Yorùbá form, meaning, part of speech, one short fully marked example, and source.</w:t>
            </w:r>
          </w:p>
        </w:tc>
      </w:tr>
      <w:tr>
        <w:trPr>
          <w:cantSplit/>
        </w:trPr>
        <w:tc>
          <w:tcPr>
            <w:tcW w:type="dxa" w:w="2000"/>
            <w:vAlign w:val="top"/>
            <w:tcMar>
              <w:top w:w="80" w:type="dxa"/>
              <w:start w:w="120" w:type="dxa"/>
              <w:bottom w:w="80" w:type="dxa"/>
              <w:end w:w="120" w:type="dxa"/>
            </w:tcMar>
          </w:tcPr>
          <w:p>
            <w:pPr>
              <w:spacing w:after="0"/>
            </w:pPr>
            <w:r>
              <w:rPr>
                <w:rFonts w:ascii="Aptos" w:hAnsi="Aptos" w:eastAsia="Aptos"/>
                <w:sz w:val="18"/>
              </w:rPr>
              <w:t>Pronunciation</w:t>
            </w:r>
          </w:p>
        </w:tc>
        <w:tc>
          <w:tcPr>
            <w:tcW w:type="dxa" w:w="7360"/>
            <w:vAlign w:val="top"/>
            <w:tcMar>
              <w:top w:w="80" w:type="dxa"/>
              <w:start w:w="120" w:type="dxa"/>
              <w:bottom w:w="80" w:type="dxa"/>
              <w:end w:w="120" w:type="dxa"/>
            </w:tcMar>
          </w:tcPr>
          <w:p>
            <w:pPr>
              <w:spacing w:after="0"/>
            </w:pPr>
            <w:r>
              <w:rPr>
                <w:rFonts w:ascii="Aptos" w:hAnsi="Aptos" w:eastAsia="Aptos"/>
                <w:sz w:val="18"/>
              </w:rPr>
              <w:t>Tutor/model audio filename or link; segment note only when it helps correct an error.</w:t>
            </w:r>
          </w:p>
        </w:tc>
      </w:tr>
      <w:tr>
        <w:trPr>
          <w:cantSplit/>
        </w:trPr>
        <w:tc>
          <w:tcPr>
            <w:tcW w:type="dxa" w:w="2000"/>
            <w:vAlign w:val="top"/>
            <w:tcMar>
              <w:top w:w="80" w:type="dxa"/>
              <w:start w:w="120" w:type="dxa"/>
              <w:bottom w:w="80" w:type="dxa"/>
              <w:end w:w="120" w:type="dxa"/>
            </w:tcMar>
          </w:tcPr>
          <w:p>
            <w:pPr>
              <w:spacing w:after="0"/>
            </w:pPr>
            <w:r>
              <w:rPr>
                <w:rFonts w:ascii="Aptos" w:hAnsi="Aptos" w:eastAsia="Aptos"/>
                <w:sz w:val="18"/>
              </w:rPr>
              <w:t>Tone</w:t>
            </w:r>
          </w:p>
        </w:tc>
        <w:tc>
          <w:tcPr>
            <w:tcW w:type="dxa" w:w="7360"/>
            <w:vAlign w:val="top"/>
            <w:tcMar>
              <w:top w:w="80" w:type="dxa"/>
              <w:start w:w="120" w:type="dxa"/>
              <w:bottom w:w="80" w:type="dxa"/>
              <w:end w:w="120" w:type="dxa"/>
            </w:tcMar>
          </w:tcPr>
          <w:p>
            <w:pPr>
              <w:spacing w:after="0"/>
            </w:pPr>
            <w:r>
              <w:rPr>
                <w:rFonts w:ascii="Aptos" w:hAnsi="Aptos" w:eastAsia="Aptos"/>
                <w:sz w:val="18"/>
              </w:rPr>
              <w:t>Tone path (do/re/mi) during Module 1 only; retire the crutch as perception stabilizes.</w:t>
            </w:r>
          </w:p>
        </w:tc>
      </w:tr>
      <w:tr>
        <w:trPr>
          <w:cantSplit/>
        </w:trPr>
        <w:tc>
          <w:tcPr>
            <w:tcW w:type="dxa" w:w="2000"/>
            <w:vAlign w:val="top"/>
            <w:tcMar>
              <w:top w:w="80" w:type="dxa"/>
              <w:start w:w="120" w:type="dxa"/>
              <w:bottom w:w="80" w:type="dxa"/>
              <w:end w:w="120" w:type="dxa"/>
            </w:tcMar>
          </w:tcPr>
          <w:p>
            <w:pPr>
              <w:spacing w:after="0"/>
            </w:pPr>
            <w:r>
              <w:rPr>
                <w:rFonts w:ascii="Aptos" w:hAnsi="Aptos" w:eastAsia="Aptos"/>
                <w:sz w:val="18"/>
              </w:rPr>
              <w:t>Tags</w:t>
            </w:r>
          </w:p>
        </w:tc>
        <w:tc>
          <w:tcPr>
            <w:tcW w:type="dxa" w:w="7360"/>
            <w:vAlign w:val="top"/>
            <w:tcMar>
              <w:top w:w="80" w:type="dxa"/>
              <w:start w:w="120" w:type="dxa"/>
              <w:bottom w:w="80" w:type="dxa"/>
              <w:end w:w="120" w:type="dxa"/>
            </w:tcMar>
          </w:tcPr>
          <w:p>
            <w:pPr>
              <w:spacing w:after="0"/>
            </w:pPr>
            <w:r>
              <w:rPr>
                <w:rFonts w:ascii="Aptos" w:hAnsi="Aptos" w:eastAsia="Aptos"/>
                <w:sz w:val="18"/>
              </w:rPr>
              <w:t>module, unit, domain, grammar, e-ẹ, o-ọ, s-ṣ, p-kp, gb, nasal, tone, register.</w:t>
            </w:r>
          </w:p>
        </w:tc>
      </w:tr>
      <w:tr>
        <w:trPr>
          <w:cantSplit/>
        </w:trPr>
        <w:tc>
          <w:tcPr>
            <w:tcW w:type="dxa" w:w="2000"/>
            <w:vAlign w:val="top"/>
            <w:tcMar>
              <w:top w:w="80" w:type="dxa"/>
              <w:start w:w="120" w:type="dxa"/>
              <w:bottom w:w="80" w:type="dxa"/>
              <w:end w:w="120" w:type="dxa"/>
            </w:tcMar>
          </w:tcPr>
          <w:p>
            <w:pPr>
              <w:spacing w:after="0"/>
            </w:pPr>
            <w:r>
              <w:rPr>
                <w:rFonts w:ascii="Aptos" w:hAnsi="Aptos" w:eastAsia="Aptos"/>
                <w:sz w:val="18"/>
              </w:rPr>
              <w:t>Review action</w:t>
            </w:r>
          </w:p>
        </w:tc>
        <w:tc>
          <w:tcPr>
            <w:tcW w:type="dxa" w:w="7360"/>
            <w:vAlign w:val="top"/>
            <w:tcMar>
              <w:top w:w="80" w:type="dxa"/>
              <w:start w:w="120" w:type="dxa"/>
              <w:bottom w:w="80" w:type="dxa"/>
              <w:end w:w="120" w:type="dxa"/>
            </w:tcMar>
          </w:tcPr>
          <w:p>
            <w:pPr>
              <w:spacing w:after="0"/>
            </w:pPr>
            <w:r>
              <w:rPr>
                <w:rFonts w:ascii="Aptos" w:hAnsi="Aptos" w:eastAsia="Aptos"/>
                <w:sz w:val="18"/>
              </w:rPr>
              <w:t>Say before revealing; type marked form; then use in a new sentence.</w:t>
            </w:r>
          </w:p>
        </w:tc>
      </w:tr>
    </w:tbl>
    <w:p>
      <w:pPr>
        <w:pStyle w:val="Heading2"/>
      </w:pPr>
      <w:r>
        <w:t>6. Error log template</w:t>
      </w:r>
    </w:p>
    <w:tbl>
      <w:tblPr>
        <w:tblStyle w:val="TableGrid"/>
        <w:tblW w:type="dxa" w:w="9360"/>
        <w:jc w:val="left"/>
        <w:tblLayout w:type="fixed"/>
        <w:tblLook w:firstColumn="1" w:firstRow="1" w:lastColumn="0" w:lastRow="0" w:noHBand="0" w:noVBand="1" w:val="04A0"/>
        <w:tblInd w:w="120" w:type="dxa"/>
      </w:tblPr>
      <w:tblGrid>
        <w:gridCol w:w="900"/>
        <w:gridCol w:w="950"/>
        <w:gridCol w:w="1050"/>
        <w:gridCol w:w="850"/>
        <w:gridCol w:w="750"/>
        <w:gridCol w:w="950"/>
        <w:gridCol w:w="1500"/>
        <w:gridCol w:w="2410"/>
      </w:tblGrid>
      <w:tr>
        <w:trPr>
          <w:tblHeader w:val="true"/>
          <w:cantSplit/>
        </w:trPr>
        <w:tc>
          <w:tcPr>
            <w:tcW w:type="dxa" w:w="900"/>
            <w:shd w:fill="E8EEF5"/>
            <w:vAlign w:val="center"/>
            <w:tcMar>
              <w:top w:w="80" w:type="dxa"/>
              <w:start w:w="120" w:type="dxa"/>
              <w:bottom w:w="80" w:type="dxa"/>
              <w:end w:w="120" w:type="dxa"/>
            </w:tcMar>
          </w:tcPr>
          <w:p>
            <w:pPr>
              <w:spacing w:after="0"/>
            </w:pPr>
            <w:r>
              <w:rPr>
                <w:rFonts w:ascii="Aptos" w:hAnsi="Aptos" w:eastAsia="Aptos"/>
                <w:b/>
                <w:color w:val="0B2545"/>
                <w:sz w:val="15"/>
              </w:rPr>
              <w:t>Date / task</w:t>
            </w:r>
          </w:p>
        </w:tc>
        <w:tc>
          <w:tcPr>
            <w:tcW w:type="dxa" w:w="950"/>
            <w:shd w:fill="E8EEF5"/>
            <w:vAlign w:val="center"/>
            <w:tcMar>
              <w:top w:w="80" w:type="dxa"/>
              <w:start w:w="120" w:type="dxa"/>
              <w:bottom w:w="80" w:type="dxa"/>
              <w:end w:w="120" w:type="dxa"/>
            </w:tcMar>
          </w:tcPr>
          <w:p>
            <w:pPr>
              <w:spacing w:after="0"/>
            </w:pPr>
            <w:r>
              <w:rPr>
                <w:rFonts w:ascii="Aptos" w:hAnsi="Aptos" w:eastAsia="Aptos"/>
                <w:b/>
                <w:color w:val="0B2545"/>
                <w:sz w:val="15"/>
              </w:rPr>
              <w:t>Target</w:t>
            </w:r>
          </w:p>
        </w:tc>
        <w:tc>
          <w:tcPr>
            <w:tcW w:type="dxa" w:w="1050"/>
            <w:shd w:fill="E8EEF5"/>
            <w:vAlign w:val="center"/>
            <w:tcMar>
              <w:top w:w="80" w:type="dxa"/>
              <w:start w:w="120" w:type="dxa"/>
              <w:bottom w:w="80" w:type="dxa"/>
              <w:end w:w="120" w:type="dxa"/>
            </w:tcMar>
          </w:tcPr>
          <w:p>
            <w:pPr>
              <w:spacing w:after="0"/>
            </w:pPr>
            <w:r>
              <w:rPr>
                <w:rFonts w:ascii="Aptos" w:hAnsi="Aptos" w:eastAsia="Aptos"/>
                <w:b/>
                <w:color w:val="0B2545"/>
                <w:sz w:val="15"/>
              </w:rPr>
              <w:t>My output</w:t>
            </w:r>
          </w:p>
        </w:tc>
        <w:tc>
          <w:tcPr>
            <w:tcW w:type="dxa" w:w="850"/>
            <w:shd w:fill="E8EEF5"/>
            <w:vAlign w:val="center"/>
            <w:tcMar>
              <w:top w:w="80" w:type="dxa"/>
              <w:start w:w="120" w:type="dxa"/>
              <w:bottom w:w="80" w:type="dxa"/>
              <w:end w:w="120" w:type="dxa"/>
            </w:tcMar>
          </w:tcPr>
          <w:p>
            <w:pPr>
              <w:spacing w:after="0"/>
            </w:pPr>
            <w:r>
              <w:rPr>
                <w:rFonts w:ascii="Aptos" w:hAnsi="Aptos" w:eastAsia="Aptos"/>
                <w:b/>
                <w:color w:val="0B2545"/>
                <w:sz w:val="15"/>
              </w:rPr>
              <w:t>Segment</w:t>
            </w:r>
          </w:p>
        </w:tc>
        <w:tc>
          <w:tcPr>
            <w:tcW w:type="dxa" w:w="750"/>
            <w:shd w:fill="E8EEF5"/>
            <w:vAlign w:val="center"/>
            <w:tcMar>
              <w:top w:w="80" w:type="dxa"/>
              <w:start w:w="120" w:type="dxa"/>
              <w:bottom w:w="80" w:type="dxa"/>
              <w:end w:w="120" w:type="dxa"/>
            </w:tcMar>
          </w:tcPr>
          <w:p>
            <w:pPr>
              <w:spacing w:after="0"/>
            </w:pPr>
            <w:r>
              <w:rPr>
                <w:rFonts w:ascii="Aptos" w:hAnsi="Aptos" w:eastAsia="Aptos"/>
                <w:b/>
                <w:color w:val="0B2545"/>
                <w:sz w:val="15"/>
              </w:rPr>
              <w:t>Tone</w:t>
            </w:r>
          </w:p>
        </w:tc>
        <w:tc>
          <w:tcPr>
            <w:tcW w:type="dxa" w:w="950"/>
            <w:shd w:fill="E8EEF5"/>
            <w:vAlign w:val="center"/>
            <w:tcMar>
              <w:top w:w="80" w:type="dxa"/>
              <w:start w:w="120" w:type="dxa"/>
              <w:bottom w:w="80" w:type="dxa"/>
              <w:end w:w="120" w:type="dxa"/>
            </w:tcMar>
          </w:tcPr>
          <w:p>
            <w:pPr>
              <w:spacing w:after="0"/>
            </w:pPr>
            <w:r>
              <w:rPr>
                <w:rFonts w:ascii="Aptos" w:hAnsi="Aptos" w:eastAsia="Aptos"/>
                <w:b/>
                <w:color w:val="0B2545"/>
                <w:sz w:val="15"/>
              </w:rPr>
              <w:t>Orthography</w:t>
            </w:r>
          </w:p>
        </w:tc>
        <w:tc>
          <w:tcPr>
            <w:tcW w:type="dxa" w:w="1500"/>
            <w:shd w:fill="E8EEF5"/>
            <w:vAlign w:val="center"/>
            <w:tcMar>
              <w:top w:w="80" w:type="dxa"/>
              <w:start w:w="120" w:type="dxa"/>
              <w:bottom w:w="80" w:type="dxa"/>
              <w:end w:w="120" w:type="dxa"/>
            </w:tcMar>
          </w:tcPr>
          <w:p>
            <w:pPr>
              <w:spacing w:after="0"/>
            </w:pPr>
            <w:r>
              <w:rPr>
                <w:rFonts w:ascii="Aptos" w:hAnsi="Aptos" w:eastAsia="Aptos"/>
                <w:b/>
                <w:color w:val="0B2545"/>
                <w:sz w:val="15"/>
              </w:rPr>
              <w:t>Grammar/register</w:t>
            </w:r>
          </w:p>
        </w:tc>
        <w:tc>
          <w:tcPr>
            <w:tcW w:type="dxa" w:w="2410"/>
            <w:shd w:fill="E8EEF5"/>
            <w:vAlign w:val="center"/>
            <w:tcMar>
              <w:top w:w="80" w:type="dxa"/>
              <w:start w:w="120" w:type="dxa"/>
              <w:bottom w:w="80" w:type="dxa"/>
              <w:end w:w="120" w:type="dxa"/>
            </w:tcMar>
          </w:tcPr>
          <w:p>
            <w:pPr>
              <w:spacing w:after="0"/>
            </w:pPr>
            <w:r>
              <w:rPr>
                <w:rFonts w:ascii="Aptos" w:hAnsi="Aptos" w:eastAsia="Aptos"/>
                <w:b/>
                <w:color w:val="0B2545"/>
                <w:sz w:val="15"/>
              </w:rPr>
              <w:t>Correction + next review</w:t>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5"/>
              </w:rPr>
            </w:r>
          </w:p>
        </w:tc>
        <w:tc>
          <w:tcPr>
            <w:tcW w:type="dxa" w:w="950"/>
            <w:vAlign w:val="top"/>
            <w:tcMar>
              <w:top w:w="80" w:type="dxa"/>
              <w:start w:w="120" w:type="dxa"/>
              <w:bottom w:w="80" w:type="dxa"/>
              <w:end w:w="120" w:type="dxa"/>
            </w:tcMar>
          </w:tcPr>
          <w:p>
            <w:pPr>
              <w:spacing w:after="0"/>
            </w:pPr>
            <w:r>
              <w:rPr>
                <w:rFonts w:ascii="Aptos" w:hAnsi="Aptos" w:eastAsia="Aptos"/>
                <w:sz w:val="15"/>
              </w:rPr>
            </w:r>
          </w:p>
        </w:tc>
        <w:tc>
          <w:tcPr>
            <w:tcW w:type="dxa" w:w="1050"/>
            <w:vAlign w:val="top"/>
            <w:tcMar>
              <w:top w:w="80" w:type="dxa"/>
              <w:start w:w="120" w:type="dxa"/>
              <w:bottom w:w="80" w:type="dxa"/>
              <w:end w:w="120" w:type="dxa"/>
            </w:tcMar>
          </w:tcPr>
          <w:p>
            <w:pPr>
              <w:spacing w:after="0"/>
            </w:pPr>
            <w:r>
              <w:rPr>
                <w:rFonts w:ascii="Aptos" w:hAnsi="Aptos" w:eastAsia="Aptos"/>
                <w:sz w:val="15"/>
              </w:rPr>
            </w:r>
          </w:p>
        </w:tc>
        <w:tc>
          <w:tcPr>
            <w:tcW w:type="dxa" w:w="850"/>
            <w:vAlign w:val="top"/>
            <w:tcMar>
              <w:top w:w="80" w:type="dxa"/>
              <w:start w:w="120" w:type="dxa"/>
              <w:bottom w:w="80" w:type="dxa"/>
              <w:end w:w="120" w:type="dxa"/>
            </w:tcMar>
          </w:tcPr>
          <w:p>
            <w:pPr>
              <w:spacing w:after="0"/>
            </w:pPr>
            <w:r>
              <w:rPr>
                <w:rFonts w:ascii="Aptos" w:hAnsi="Aptos" w:eastAsia="Aptos"/>
                <w:sz w:val="15"/>
              </w:rPr>
            </w:r>
          </w:p>
        </w:tc>
        <w:tc>
          <w:tcPr>
            <w:tcW w:type="dxa" w:w="750"/>
            <w:vAlign w:val="top"/>
            <w:tcMar>
              <w:top w:w="80" w:type="dxa"/>
              <w:start w:w="120" w:type="dxa"/>
              <w:bottom w:w="80" w:type="dxa"/>
              <w:end w:w="120" w:type="dxa"/>
            </w:tcMar>
          </w:tcPr>
          <w:p>
            <w:pPr>
              <w:spacing w:after="0"/>
            </w:pPr>
            <w:r>
              <w:rPr>
                <w:rFonts w:ascii="Aptos" w:hAnsi="Aptos" w:eastAsia="Aptos"/>
                <w:sz w:val="15"/>
              </w:rPr>
            </w:r>
          </w:p>
        </w:tc>
        <w:tc>
          <w:tcPr>
            <w:tcW w:type="dxa" w:w="950"/>
            <w:vAlign w:val="top"/>
            <w:tcMar>
              <w:top w:w="80" w:type="dxa"/>
              <w:start w:w="120" w:type="dxa"/>
              <w:bottom w:w="80" w:type="dxa"/>
              <w:end w:w="120" w:type="dxa"/>
            </w:tcMar>
          </w:tcPr>
          <w:p>
            <w:pPr>
              <w:spacing w:after="0"/>
            </w:pPr>
            <w:r>
              <w:rPr>
                <w:rFonts w:ascii="Aptos" w:hAnsi="Aptos" w:eastAsia="Aptos"/>
                <w:sz w:val="15"/>
              </w:rPr>
            </w:r>
          </w:p>
        </w:tc>
        <w:tc>
          <w:tcPr>
            <w:tcW w:type="dxa" w:w="1500"/>
            <w:vAlign w:val="top"/>
            <w:tcMar>
              <w:top w:w="80" w:type="dxa"/>
              <w:start w:w="120" w:type="dxa"/>
              <w:bottom w:w="80" w:type="dxa"/>
              <w:end w:w="120" w:type="dxa"/>
            </w:tcMar>
          </w:tcPr>
          <w:p>
            <w:pPr>
              <w:spacing w:after="0"/>
            </w:pPr>
            <w:r>
              <w:rPr>
                <w:rFonts w:ascii="Aptos" w:hAnsi="Aptos" w:eastAsia="Aptos"/>
                <w:sz w:val="15"/>
              </w:rPr>
            </w:r>
          </w:p>
        </w:tc>
        <w:tc>
          <w:tcPr>
            <w:tcW w:type="dxa" w:w="2410"/>
            <w:vAlign w:val="top"/>
            <w:tcMar>
              <w:top w:w="80" w:type="dxa"/>
              <w:start w:w="120" w:type="dxa"/>
              <w:bottom w:w="80" w:type="dxa"/>
              <w:end w:w="120" w:type="dxa"/>
            </w:tcMar>
          </w:tcPr>
          <w:p>
            <w:pPr>
              <w:spacing w:after="0"/>
            </w:pPr>
            <w:r>
              <w:rPr>
                <w:rFonts w:ascii="Aptos" w:hAnsi="Aptos" w:eastAsia="Aptos"/>
                <w:sz w:val="15"/>
              </w:rPr>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5"/>
              </w:rPr>
            </w:r>
          </w:p>
        </w:tc>
        <w:tc>
          <w:tcPr>
            <w:tcW w:type="dxa" w:w="950"/>
            <w:vAlign w:val="top"/>
            <w:tcMar>
              <w:top w:w="80" w:type="dxa"/>
              <w:start w:w="120" w:type="dxa"/>
              <w:bottom w:w="80" w:type="dxa"/>
              <w:end w:w="120" w:type="dxa"/>
            </w:tcMar>
          </w:tcPr>
          <w:p>
            <w:pPr>
              <w:spacing w:after="0"/>
            </w:pPr>
            <w:r>
              <w:rPr>
                <w:rFonts w:ascii="Aptos" w:hAnsi="Aptos" w:eastAsia="Aptos"/>
                <w:sz w:val="15"/>
              </w:rPr>
            </w:r>
          </w:p>
        </w:tc>
        <w:tc>
          <w:tcPr>
            <w:tcW w:type="dxa" w:w="1050"/>
            <w:vAlign w:val="top"/>
            <w:tcMar>
              <w:top w:w="80" w:type="dxa"/>
              <w:start w:w="120" w:type="dxa"/>
              <w:bottom w:w="80" w:type="dxa"/>
              <w:end w:w="120" w:type="dxa"/>
            </w:tcMar>
          </w:tcPr>
          <w:p>
            <w:pPr>
              <w:spacing w:after="0"/>
            </w:pPr>
            <w:r>
              <w:rPr>
                <w:rFonts w:ascii="Aptos" w:hAnsi="Aptos" w:eastAsia="Aptos"/>
                <w:sz w:val="15"/>
              </w:rPr>
            </w:r>
          </w:p>
        </w:tc>
        <w:tc>
          <w:tcPr>
            <w:tcW w:type="dxa" w:w="850"/>
            <w:vAlign w:val="top"/>
            <w:tcMar>
              <w:top w:w="80" w:type="dxa"/>
              <w:start w:w="120" w:type="dxa"/>
              <w:bottom w:w="80" w:type="dxa"/>
              <w:end w:w="120" w:type="dxa"/>
            </w:tcMar>
          </w:tcPr>
          <w:p>
            <w:pPr>
              <w:spacing w:after="0"/>
            </w:pPr>
            <w:r>
              <w:rPr>
                <w:rFonts w:ascii="Aptos" w:hAnsi="Aptos" w:eastAsia="Aptos"/>
                <w:sz w:val="15"/>
              </w:rPr>
            </w:r>
          </w:p>
        </w:tc>
        <w:tc>
          <w:tcPr>
            <w:tcW w:type="dxa" w:w="750"/>
            <w:vAlign w:val="top"/>
            <w:tcMar>
              <w:top w:w="80" w:type="dxa"/>
              <w:start w:w="120" w:type="dxa"/>
              <w:bottom w:w="80" w:type="dxa"/>
              <w:end w:w="120" w:type="dxa"/>
            </w:tcMar>
          </w:tcPr>
          <w:p>
            <w:pPr>
              <w:spacing w:after="0"/>
            </w:pPr>
            <w:r>
              <w:rPr>
                <w:rFonts w:ascii="Aptos" w:hAnsi="Aptos" w:eastAsia="Aptos"/>
                <w:sz w:val="15"/>
              </w:rPr>
            </w:r>
          </w:p>
        </w:tc>
        <w:tc>
          <w:tcPr>
            <w:tcW w:type="dxa" w:w="950"/>
            <w:vAlign w:val="top"/>
            <w:tcMar>
              <w:top w:w="80" w:type="dxa"/>
              <w:start w:w="120" w:type="dxa"/>
              <w:bottom w:w="80" w:type="dxa"/>
              <w:end w:w="120" w:type="dxa"/>
            </w:tcMar>
          </w:tcPr>
          <w:p>
            <w:pPr>
              <w:spacing w:after="0"/>
            </w:pPr>
            <w:r>
              <w:rPr>
                <w:rFonts w:ascii="Aptos" w:hAnsi="Aptos" w:eastAsia="Aptos"/>
                <w:sz w:val="15"/>
              </w:rPr>
            </w:r>
          </w:p>
        </w:tc>
        <w:tc>
          <w:tcPr>
            <w:tcW w:type="dxa" w:w="1500"/>
            <w:vAlign w:val="top"/>
            <w:tcMar>
              <w:top w:w="80" w:type="dxa"/>
              <w:start w:w="120" w:type="dxa"/>
              <w:bottom w:w="80" w:type="dxa"/>
              <w:end w:w="120" w:type="dxa"/>
            </w:tcMar>
          </w:tcPr>
          <w:p>
            <w:pPr>
              <w:spacing w:after="0"/>
            </w:pPr>
            <w:r>
              <w:rPr>
                <w:rFonts w:ascii="Aptos" w:hAnsi="Aptos" w:eastAsia="Aptos"/>
                <w:sz w:val="15"/>
              </w:rPr>
            </w:r>
          </w:p>
        </w:tc>
        <w:tc>
          <w:tcPr>
            <w:tcW w:type="dxa" w:w="2410"/>
            <w:vAlign w:val="top"/>
            <w:tcMar>
              <w:top w:w="80" w:type="dxa"/>
              <w:start w:w="120" w:type="dxa"/>
              <w:bottom w:w="80" w:type="dxa"/>
              <w:end w:w="120" w:type="dxa"/>
            </w:tcMar>
          </w:tcPr>
          <w:p>
            <w:pPr>
              <w:spacing w:after="0"/>
            </w:pPr>
            <w:r>
              <w:rPr>
                <w:rFonts w:ascii="Aptos" w:hAnsi="Aptos" w:eastAsia="Aptos"/>
                <w:sz w:val="15"/>
              </w:rPr>
            </w:r>
          </w:p>
        </w:tc>
      </w:tr>
      <w:tr>
        <w:trPr>
          <w:cantSplit/>
        </w:trPr>
        <w:tc>
          <w:tcPr>
            <w:tcW w:type="dxa" w:w="900"/>
            <w:vAlign w:val="top"/>
            <w:tcMar>
              <w:top w:w="80" w:type="dxa"/>
              <w:start w:w="120" w:type="dxa"/>
              <w:bottom w:w="80" w:type="dxa"/>
              <w:end w:w="120" w:type="dxa"/>
            </w:tcMar>
          </w:tcPr>
          <w:p>
            <w:pPr>
              <w:spacing w:after="0"/>
            </w:pPr>
            <w:r>
              <w:rPr>
                <w:rFonts w:ascii="Aptos" w:hAnsi="Aptos" w:eastAsia="Aptos"/>
                <w:sz w:val="15"/>
              </w:rPr>
            </w:r>
          </w:p>
        </w:tc>
        <w:tc>
          <w:tcPr>
            <w:tcW w:type="dxa" w:w="950"/>
            <w:vAlign w:val="top"/>
            <w:tcMar>
              <w:top w:w="80" w:type="dxa"/>
              <w:start w:w="120" w:type="dxa"/>
              <w:bottom w:w="80" w:type="dxa"/>
              <w:end w:w="120" w:type="dxa"/>
            </w:tcMar>
          </w:tcPr>
          <w:p>
            <w:pPr>
              <w:spacing w:after="0"/>
            </w:pPr>
            <w:r>
              <w:rPr>
                <w:rFonts w:ascii="Aptos" w:hAnsi="Aptos" w:eastAsia="Aptos"/>
                <w:sz w:val="15"/>
              </w:rPr>
            </w:r>
          </w:p>
        </w:tc>
        <w:tc>
          <w:tcPr>
            <w:tcW w:type="dxa" w:w="1050"/>
            <w:vAlign w:val="top"/>
            <w:tcMar>
              <w:top w:w="80" w:type="dxa"/>
              <w:start w:w="120" w:type="dxa"/>
              <w:bottom w:w="80" w:type="dxa"/>
              <w:end w:w="120" w:type="dxa"/>
            </w:tcMar>
          </w:tcPr>
          <w:p>
            <w:pPr>
              <w:spacing w:after="0"/>
            </w:pPr>
            <w:r>
              <w:rPr>
                <w:rFonts w:ascii="Aptos" w:hAnsi="Aptos" w:eastAsia="Aptos"/>
                <w:sz w:val="15"/>
              </w:rPr>
            </w:r>
          </w:p>
        </w:tc>
        <w:tc>
          <w:tcPr>
            <w:tcW w:type="dxa" w:w="850"/>
            <w:vAlign w:val="top"/>
            <w:tcMar>
              <w:top w:w="80" w:type="dxa"/>
              <w:start w:w="120" w:type="dxa"/>
              <w:bottom w:w="80" w:type="dxa"/>
              <w:end w:w="120" w:type="dxa"/>
            </w:tcMar>
          </w:tcPr>
          <w:p>
            <w:pPr>
              <w:spacing w:after="0"/>
            </w:pPr>
            <w:r>
              <w:rPr>
                <w:rFonts w:ascii="Aptos" w:hAnsi="Aptos" w:eastAsia="Aptos"/>
                <w:sz w:val="15"/>
              </w:rPr>
            </w:r>
          </w:p>
        </w:tc>
        <w:tc>
          <w:tcPr>
            <w:tcW w:type="dxa" w:w="750"/>
            <w:vAlign w:val="top"/>
            <w:tcMar>
              <w:top w:w="80" w:type="dxa"/>
              <w:start w:w="120" w:type="dxa"/>
              <w:bottom w:w="80" w:type="dxa"/>
              <w:end w:w="120" w:type="dxa"/>
            </w:tcMar>
          </w:tcPr>
          <w:p>
            <w:pPr>
              <w:spacing w:after="0"/>
            </w:pPr>
            <w:r>
              <w:rPr>
                <w:rFonts w:ascii="Aptos" w:hAnsi="Aptos" w:eastAsia="Aptos"/>
                <w:sz w:val="15"/>
              </w:rPr>
            </w:r>
          </w:p>
        </w:tc>
        <w:tc>
          <w:tcPr>
            <w:tcW w:type="dxa" w:w="950"/>
            <w:vAlign w:val="top"/>
            <w:tcMar>
              <w:top w:w="80" w:type="dxa"/>
              <w:start w:w="120" w:type="dxa"/>
              <w:bottom w:w="80" w:type="dxa"/>
              <w:end w:w="120" w:type="dxa"/>
            </w:tcMar>
          </w:tcPr>
          <w:p>
            <w:pPr>
              <w:spacing w:after="0"/>
            </w:pPr>
            <w:r>
              <w:rPr>
                <w:rFonts w:ascii="Aptos" w:hAnsi="Aptos" w:eastAsia="Aptos"/>
                <w:sz w:val="15"/>
              </w:rPr>
            </w:r>
          </w:p>
        </w:tc>
        <w:tc>
          <w:tcPr>
            <w:tcW w:type="dxa" w:w="1500"/>
            <w:vAlign w:val="top"/>
            <w:tcMar>
              <w:top w:w="80" w:type="dxa"/>
              <w:start w:w="120" w:type="dxa"/>
              <w:bottom w:w="80" w:type="dxa"/>
              <w:end w:w="120" w:type="dxa"/>
            </w:tcMar>
          </w:tcPr>
          <w:p>
            <w:pPr>
              <w:spacing w:after="0"/>
            </w:pPr>
            <w:r>
              <w:rPr>
                <w:rFonts w:ascii="Aptos" w:hAnsi="Aptos" w:eastAsia="Aptos"/>
                <w:sz w:val="15"/>
              </w:rPr>
            </w:r>
          </w:p>
        </w:tc>
        <w:tc>
          <w:tcPr>
            <w:tcW w:type="dxa" w:w="2410"/>
            <w:vAlign w:val="top"/>
            <w:tcMar>
              <w:top w:w="80" w:type="dxa"/>
              <w:start w:w="120" w:type="dxa"/>
              <w:bottom w:w="80" w:type="dxa"/>
              <w:end w:w="120" w:type="dxa"/>
            </w:tcMar>
          </w:tcPr>
          <w:p>
            <w:pPr>
              <w:spacing w:after="0"/>
            </w:pPr>
            <w:r>
              <w:rPr>
                <w:rFonts w:ascii="Aptos" w:hAnsi="Aptos" w:eastAsia="Aptos"/>
                <w:sz w:val="15"/>
              </w:rPr>
            </w:r>
          </w:p>
        </w:tc>
      </w:tr>
    </w:tbl>
    <w:p>
      <w:pPr>
        <w:pStyle w:val="Heading1"/>
      </w:pPr>
      <w:r>
        <w:t>Part X. Instructor / Self-Study Implementation Guide</w:t>
      </w:r>
    </w:p>
    <w:p>
      <w:pPr>
        <w:pStyle w:val="Heading2"/>
      </w:pPr>
      <w:r>
        <w:t>1. Twelve-week pattern per eight-unit module</w:t>
      </w:r>
    </w:p>
    <w:tbl>
      <w:tblPr>
        <w:tblStyle w:val="TableGrid"/>
        <w:tblW w:type="dxa" w:w="9360"/>
        <w:jc w:val="left"/>
        <w:tblLayout w:type="fixed"/>
        <w:tblLook w:firstColumn="1" w:firstRow="1" w:lastColumn="0" w:lastRow="0" w:noHBand="0" w:noVBand="1" w:val="04A0"/>
        <w:tblInd w:w="120" w:type="dxa"/>
      </w:tblPr>
      <w:tblGrid>
        <w:gridCol w:w="1300"/>
        <w:gridCol w:w="4650"/>
        <w:gridCol w:w="3410"/>
      </w:tblGrid>
      <w:tr>
        <w:trPr>
          <w:tblHeader w:val="true"/>
          <w:cantSplit/>
        </w:trPr>
        <w:tc>
          <w:tcPr>
            <w:tcW w:type="dxa" w:w="1300"/>
            <w:shd w:fill="E8EEF5"/>
            <w:vAlign w:val="center"/>
            <w:tcMar>
              <w:top w:w="80" w:type="dxa"/>
              <w:start w:w="120" w:type="dxa"/>
              <w:bottom w:w="80" w:type="dxa"/>
              <w:end w:w="120" w:type="dxa"/>
            </w:tcMar>
          </w:tcPr>
          <w:p>
            <w:pPr>
              <w:spacing w:after="0"/>
            </w:pPr>
            <w:r>
              <w:rPr>
                <w:rFonts w:ascii="Aptos" w:hAnsi="Aptos" w:eastAsia="Aptos"/>
                <w:b/>
                <w:color w:val="0B2545"/>
                <w:sz w:val="18"/>
              </w:rPr>
              <w:t>Weeks</w:t>
            </w:r>
          </w:p>
        </w:tc>
        <w:tc>
          <w:tcPr>
            <w:tcW w:type="dxa" w:w="4650"/>
            <w:shd w:fill="E8EEF5"/>
            <w:vAlign w:val="center"/>
            <w:tcMar>
              <w:top w:w="80" w:type="dxa"/>
              <w:start w:w="120" w:type="dxa"/>
              <w:bottom w:w="80" w:type="dxa"/>
              <w:end w:w="120" w:type="dxa"/>
            </w:tcMar>
          </w:tcPr>
          <w:p>
            <w:pPr>
              <w:spacing w:after="0"/>
            </w:pPr>
            <w:r>
              <w:rPr>
                <w:rFonts w:ascii="Aptos" w:hAnsi="Aptos" w:eastAsia="Aptos"/>
                <w:b/>
                <w:color w:val="0B2545"/>
                <w:sz w:val="18"/>
              </w:rPr>
              <w:t>Purpose</w:t>
            </w:r>
          </w:p>
        </w:tc>
        <w:tc>
          <w:tcPr>
            <w:tcW w:type="dxa" w:w="3410"/>
            <w:shd w:fill="E8EEF5"/>
            <w:vAlign w:val="center"/>
            <w:tcMar>
              <w:top w:w="80" w:type="dxa"/>
              <w:start w:w="120" w:type="dxa"/>
              <w:bottom w:w="80" w:type="dxa"/>
              <w:end w:w="120" w:type="dxa"/>
            </w:tcMar>
          </w:tcPr>
          <w:p>
            <w:pPr>
              <w:spacing w:after="0"/>
            </w:pPr>
            <w:r>
              <w:rPr>
                <w:rFonts w:ascii="Aptos" w:hAnsi="Aptos" w:eastAsia="Aptos"/>
                <w:b/>
                <w:color w:val="0B2545"/>
                <w:sz w:val="18"/>
              </w:rPr>
              <w:t>Deliverable</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1-2</w:t>
            </w:r>
          </w:p>
        </w:tc>
        <w:tc>
          <w:tcPr>
            <w:tcW w:type="dxa" w:w="4650"/>
            <w:vAlign w:val="top"/>
            <w:tcMar>
              <w:top w:w="80" w:type="dxa"/>
              <w:start w:w="120" w:type="dxa"/>
              <w:bottom w:w="80" w:type="dxa"/>
              <w:end w:w="120" w:type="dxa"/>
            </w:tcMar>
          </w:tcPr>
          <w:p>
            <w:pPr>
              <w:spacing w:after="0"/>
            </w:pPr>
            <w:r>
              <w:rPr>
                <w:rFonts w:ascii="Aptos" w:hAnsi="Aptos" w:eastAsia="Aptos"/>
                <w:sz w:val="18"/>
              </w:rPr>
              <w:t>Units 1-2: establish form and comprehension</w:t>
            </w:r>
          </w:p>
        </w:tc>
        <w:tc>
          <w:tcPr>
            <w:tcW w:type="dxa" w:w="3410"/>
            <w:vAlign w:val="top"/>
            <w:tcMar>
              <w:top w:w="80" w:type="dxa"/>
              <w:start w:w="120" w:type="dxa"/>
              <w:bottom w:w="80" w:type="dxa"/>
              <w:end w:w="120" w:type="dxa"/>
            </w:tcMar>
          </w:tcPr>
          <w:p>
            <w:pPr>
              <w:spacing w:after="0"/>
            </w:pPr>
            <w:r>
              <w:rPr>
                <w:rFonts w:ascii="Aptos" w:hAnsi="Aptos" w:eastAsia="Aptos"/>
                <w:sz w:val="18"/>
              </w:rPr>
              <w:t>Diagnostic + two micro-quizzes</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3-4</w:t>
            </w:r>
          </w:p>
        </w:tc>
        <w:tc>
          <w:tcPr>
            <w:tcW w:type="dxa" w:w="4650"/>
            <w:vAlign w:val="top"/>
            <w:tcMar>
              <w:top w:w="80" w:type="dxa"/>
              <w:start w:w="120" w:type="dxa"/>
              <w:bottom w:w="80" w:type="dxa"/>
              <w:end w:w="120" w:type="dxa"/>
            </w:tcMar>
          </w:tcPr>
          <w:p>
            <w:pPr>
              <w:spacing w:after="0"/>
            </w:pPr>
            <w:r>
              <w:rPr>
                <w:rFonts w:ascii="Aptos" w:hAnsi="Aptos" w:eastAsia="Aptos"/>
                <w:sz w:val="18"/>
              </w:rPr>
              <w:t>Units 3-4: controlled interaction</w:t>
            </w:r>
          </w:p>
        </w:tc>
        <w:tc>
          <w:tcPr>
            <w:tcW w:type="dxa" w:w="3410"/>
            <w:vAlign w:val="top"/>
            <w:tcMar>
              <w:top w:w="80" w:type="dxa"/>
              <w:start w:w="120" w:type="dxa"/>
              <w:bottom w:w="80" w:type="dxa"/>
              <w:end w:w="120" w:type="dxa"/>
            </w:tcMar>
          </w:tcPr>
          <w:p>
            <w:pPr>
              <w:spacing w:after="0"/>
            </w:pPr>
            <w:r>
              <w:rPr>
                <w:rFonts w:ascii="Aptos" w:hAnsi="Aptos" w:eastAsia="Aptos"/>
                <w:sz w:val="18"/>
              </w:rPr>
              <w:t>Voice note + marked paragraph</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5-6</w:t>
            </w:r>
          </w:p>
        </w:tc>
        <w:tc>
          <w:tcPr>
            <w:tcW w:type="dxa" w:w="4650"/>
            <w:vAlign w:val="top"/>
            <w:tcMar>
              <w:top w:w="80" w:type="dxa"/>
              <w:start w:w="120" w:type="dxa"/>
              <w:bottom w:w="80" w:type="dxa"/>
              <w:end w:w="120" w:type="dxa"/>
            </w:tcMar>
          </w:tcPr>
          <w:p>
            <w:pPr>
              <w:spacing w:after="0"/>
            </w:pPr>
            <w:r>
              <w:rPr>
                <w:rFonts w:ascii="Aptos" w:hAnsi="Aptos" w:eastAsia="Aptos"/>
                <w:sz w:val="18"/>
              </w:rPr>
              <w:t>Units 5-6: retrieval, numbers/text complexity</w:t>
            </w:r>
          </w:p>
        </w:tc>
        <w:tc>
          <w:tcPr>
            <w:tcW w:type="dxa" w:w="3410"/>
            <w:vAlign w:val="top"/>
            <w:tcMar>
              <w:top w:w="80" w:type="dxa"/>
              <w:start w:w="120" w:type="dxa"/>
              <w:bottom w:w="80" w:type="dxa"/>
              <w:end w:w="120" w:type="dxa"/>
            </w:tcMar>
          </w:tcPr>
          <w:p>
            <w:pPr>
              <w:spacing w:after="0"/>
            </w:pPr>
            <w:r>
              <w:rPr>
                <w:rFonts w:ascii="Aptos" w:hAnsi="Aptos" w:eastAsia="Aptos"/>
                <w:sz w:val="18"/>
              </w:rPr>
              <w:t>Mid-module integrated task</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7-8</w:t>
            </w:r>
          </w:p>
        </w:tc>
        <w:tc>
          <w:tcPr>
            <w:tcW w:type="dxa" w:w="4650"/>
            <w:vAlign w:val="top"/>
            <w:tcMar>
              <w:top w:w="80" w:type="dxa"/>
              <w:start w:w="120" w:type="dxa"/>
              <w:bottom w:w="80" w:type="dxa"/>
              <w:end w:w="120" w:type="dxa"/>
            </w:tcMar>
          </w:tcPr>
          <w:p>
            <w:pPr>
              <w:spacing w:after="0"/>
            </w:pPr>
            <w:r>
              <w:rPr>
                <w:rFonts w:ascii="Aptos" w:hAnsi="Aptos" w:eastAsia="Aptos"/>
                <w:sz w:val="18"/>
              </w:rPr>
              <w:t>Units 7-8: transfer and domain performance</w:t>
            </w:r>
          </w:p>
        </w:tc>
        <w:tc>
          <w:tcPr>
            <w:tcW w:type="dxa" w:w="3410"/>
            <w:vAlign w:val="top"/>
            <w:tcMar>
              <w:top w:w="80" w:type="dxa"/>
              <w:start w:w="120" w:type="dxa"/>
              <w:bottom w:w="80" w:type="dxa"/>
              <w:end w:w="120" w:type="dxa"/>
            </w:tcMar>
          </w:tcPr>
          <w:p>
            <w:pPr>
              <w:spacing w:after="0"/>
            </w:pPr>
            <w:r>
              <w:rPr>
                <w:rFonts w:ascii="Aptos" w:hAnsi="Aptos" w:eastAsia="Aptos"/>
                <w:sz w:val="18"/>
              </w:rPr>
              <w:t>Role-play + composition</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9</w:t>
            </w:r>
          </w:p>
        </w:tc>
        <w:tc>
          <w:tcPr>
            <w:tcW w:type="dxa" w:w="4650"/>
            <w:vAlign w:val="top"/>
            <w:tcMar>
              <w:top w:w="80" w:type="dxa"/>
              <w:start w:w="120" w:type="dxa"/>
              <w:bottom w:w="80" w:type="dxa"/>
              <w:end w:w="120" w:type="dxa"/>
            </w:tcMar>
          </w:tcPr>
          <w:p>
            <w:pPr>
              <w:spacing w:after="0"/>
            </w:pPr>
            <w:r>
              <w:rPr>
                <w:rFonts w:ascii="Aptos" w:hAnsi="Aptos" w:eastAsia="Aptos"/>
                <w:sz w:val="18"/>
              </w:rPr>
              <w:t>Media/literature extension</w:t>
            </w:r>
          </w:p>
        </w:tc>
        <w:tc>
          <w:tcPr>
            <w:tcW w:type="dxa" w:w="3410"/>
            <w:vAlign w:val="top"/>
            <w:tcMar>
              <w:top w:w="80" w:type="dxa"/>
              <w:start w:w="120" w:type="dxa"/>
              <w:bottom w:w="80" w:type="dxa"/>
              <w:end w:w="120" w:type="dxa"/>
            </w:tcMar>
          </w:tcPr>
          <w:p>
            <w:pPr>
              <w:spacing w:after="0"/>
            </w:pPr>
            <w:r>
              <w:rPr>
                <w:rFonts w:ascii="Aptos" w:hAnsi="Aptos" w:eastAsia="Aptos"/>
                <w:sz w:val="18"/>
              </w:rPr>
              <w:t>Annotated source + summary</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10</w:t>
            </w:r>
          </w:p>
        </w:tc>
        <w:tc>
          <w:tcPr>
            <w:tcW w:type="dxa" w:w="4650"/>
            <w:vAlign w:val="top"/>
            <w:tcMar>
              <w:top w:w="80" w:type="dxa"/>
              <w:start w:w="120" w:type="dxa"/>
              <w:bottom w:w="80" w:type="dxa"/>
              <w:end w:w="120" w:type="dxa"/>
            </w:tcMar>
          </w:tcPr>
          <w:p>
            <w:pPr>
              <w:spacing w:after="0"/>
            </w:pPr>
            <w:r>
              <w:rPr>
                <w:rFonts w:ascii="Aptos" w:hAnsi="Aptos" w:eastAsia="Aptos"/>
                <w:sz w:val="18"/>
              </w:rPr>
              <w:t>Spiral review and repair</w:t>
            </w:r>
          </w:p>
        </w:tc>
        <w:tc>
          <w:tcPr>
            <w:tcW w:type="dxa" w:w="3410"/>
            <w:vAlign w:val="top"/>
            <w:tcMar>
              <w:top w:w="80" w:type="dxa"/>
              <w:start w:w="120" w:type="dxa"/>
              <w:bottom w:w="80" w:type="dxa"/>
              <w:end w:w="120" w:type="dxa"/>
            </w:tcMar>
          </w:tcPr>
          <w:p>
            <w:pPr>
              <w:spacing w:after="0"/>
            </w:pPr>
            <w:r>
              <w:rPr>
                <w:rFonts w:ascii="Aptos" w:hAnsi="Aptos" w:eastAsia="Aptos"/>
                <w:sz w:val="18"/>
              </w:rPr>
              <w:t>Corrected error portfolio</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11</w:t>
            </w:r>
          </w:p>
        </w:tc>
        <w:tc>
          <w:tcPr>
            <w:tcW w:type="dxa" w:w="4650"/>
            <w:vAlign w:val="top"/>
            <w:tcMar>
              <w:top w:w="80" w:type="dxa"/>
              <w:start w:w="120" w:type="dxa"/>
              <w:bottom w:w="80" w:type="dxa"/>
              <w:end w:w="120" w:type="dxa"/>
            </w:tcMar>
          </w:tcPr>
          <w:p>
            <w:pPr>
              <w:spacing w:after="0"/>
            </w:pPr>
            <w:r>
              <w:rPr>
                <w:rFonts w:ascii="Aptos" w:hAnsi="Aptos" w:eastAsia="Aptos"/>
                <w:sz w:val="18"/>
              </w:rPr>
              <w:t>Mock checkpoint</w:t>
            </w:r>
          </w:p>
        </w:tc>
        <w:tc>
          <w:tcPr>
            <w:tcW w:type="dxa" w:w="3410"/>
            <w:vAlign w:val="top"/>
            <w:tcMar>
              <w:top w:w="80" w:type="dxa"/>
              <w:start w:w="120" w:type="dxa"/>
              <w:bottom w:w="80" w:type="dxa"/>
              <w:end w:w="120" w:type="dxa"/>
            </w:tcMar>
          </w:tcPr>
          <w:p>
            <w:pPr>
              <w:spacing w:after="0"/>
            </w:pPr>
            <w:r>
              <w:rPr>
                <w:rFonts w:ascii="Aptos" w:hAnsi="Aptos" w:eastAsia="Aptos"/>
                <w:sz w:val="18"/>
              </w:rPr>
              <w:t>Timed mock + feedback conference</w:t>
            </w:r>
          </w:p>
        </w:tc>
      </w:tr>
      <w:tr>
        <w:trPr>
          <w:cantSplit/>
        </w:trPr>
        <w:tc>
          <w:tcPr>
            <w:tcW w:type="dxa" w:w="1300"/>
            <w:vAlign w:val="top"/>
            <w:tcMar>
              <w:top w:w="80" w:type="dxa"/>
              <w:start w:w="120" w:type="dxa"/>
              <w:bottom w:w="80" w:type="dxa"/>
              <w:end w:w="120" w:type="dxa"/>
            </w:tcMar>
          </w:tcPr>
          <w:p>
            <w:pPr>
              <w:spacing w:after="0"/>
            </w:pPr>
            <w:r>
              <w:rPr>
                <w:rFonts w:ascii="Aptos" w:hAnsi="Aptos" w:eastAsia="Aptos"/>
                <w:sz w:val="18"/>
              </w:rPr>
              <w:t>12</w:t>
            </w:r>
          </w:p>
        </w:tc>
        <w:tc>
          <w:tcPr>
            <w:tcW w:type="dxa" w:w="4650"/>
            <w:vAlign w:val="top"/>
            <w:tcMar>
              <w:top w:w="80" w:type="dxa"/>
              <w:start w:w="120" w:type="dxa"/>
              <w:bottom w:w="80" w:type="dxa"/>
              <w:end w:w="120" w:type="dxa"/>
            </w:tcMar>
          </w:tcPr>
          <w:p>
            <w:pPr>
              <w:spacing w:after="0"/>
            </w:pPr>
            <w:r>
              <w:rPr>
                <w:rFonts w:ascii="Aptos" w:hAnsi="Aptos" w:eastAsia="Aptos"/>
                <w:sz w:val="18"/>
              </w:rPr>
              <w:t>Module checkpoint</w:t>
            </w:r>
          </w:p>
        </w:tc>
        <w:tc>
          <w:tcPr>
            <w:tcW w:type="dxa" w:w="3410"/>
            <w:vAlign w:val="top"/>
            <w:tcMar>
              <w:top w:w="80" w:type="dxa"/>
              <w:start w:w="120" w:type="dxa"/>
              <w:bottom w:w="80" w:type="dxa"/>
              <w:end w:w="120" w:type="dxa"/>
            </w:tcMar>
          </w:tcPr>
          <w:p>
            <w:pPr>
              <w:spacing w:after="0"/>
            </w:pPr>
            <w:r>
              <w:rPr>
                <w:rFonts w:ascii="Aptos" w:hAnsi="Aptos" w:eastAsia="Aptos"/>
                <w:sz w:val="18"/>
              </w:rPr>
              <w:t>Exam + moderated portfolio</w:t>
            </w:r>
          </w:p>
        </w:tc>
      </w:tr>
    </w:tbl>
    <w:p>
      <w:r>
        <w:t>Advanced Module 4 should usually extend beyond twelve weeks because the research/translation capstone requires proposal, ethics/source review, drafting, feedback, revision, and defence.</w:t>
      </w:r>
    </w:p>
    <w:p>
      <w:pPr>
        <w:pStyle w:val="Heading2"/>
      </w:pPr>
      <w:r>
        <w:t>2. Lesson file template</w:t>
      </w:r>
    </w:p>
    <w:p>
      <w:pPr>
        <w:numPr>
          <w:ilvl w:val="0"/>
          <w:numId w:val="16"/>
        </w:numPr>
        <w:spacing w:after="80" w:line="300" w:lineRule="auto"/>
      </w:pPr>
      <w:r>
        <w:t>Can-do outcome stated as observable performance.</w:t>
      </w:r>
    </w:p>
    <w:p>
      <w:pPr>
        <w:numPr>
          <w:ilvl w:val="0"/>
          <w:numId w:val="16"/>
        </w:numPr>
        <w:spacing w:after="80" w:line="300" w:lineRule="auto"/>
      </w:pPr>
      <w:r>
        <w:t>Pronunciation/tone target with discrimination and production evidence.</w:t>
      </w:r>
    </w:p>
    <w:p>
      <w:pPr>
        <w:numPr>
          <w:ilvl w:val="0"/>
          <w:numId w:val="16"/>
        </w:numPr>
        <w:spacing w:after="80" w:line="300" w:lineRule="auto"/>
      </w:pPr>
      <w:r>
        <w:t>40-80 high-frequency lemmas at Novice, expanding by need later; every teaching entry fully marked and source-checked.</w:t>
      </w:r>
    </w:p>
    <w:p>
      <w:pPr>
        <w:numPr>
          <w:ilvl w:val="0"/>
          <w:numId w:val="16"/>
        </w:numPr>
        <w:spacing w:after="80" w:line="300" w:lineRule="auto"/>
      </w:pPr>
      <w:r>
        <w:t>Grammar explanation with a contrastive English note and at least one negative/question contrast.</w:t>
      </w:r>
    </w:p>
    <w:p>
      <w:pPr>
        <w:numPr>
          <w:ilvl w:val="0"/>
          <w:numId w:val="16"/>
        </w:numPr>
        <w:spacing w:after="80" w:line="300" w:lineRule="auto"/>
      </w:pPr>
      <w:r>
        <w:t>Three dialogue modes: classroom-slow, near-natural situational, and phone/voice-note.</w:t>
      </w:r>
    </w:p>
    <w:p>
      <w:pPr>
        <w:numPr>
          <w:ilvl w:val="0"/>
          <w:numId w:val="16"/>
        </w:numPr>
        <w:spacing w:after="80" w:line="300" w:lineRule="auto"/>
      </w:pPr>
      <w:r>
        <w:t>Drills: substitution, transformation, bidirectional translation, minimal contrast, and delayed retrieval.</w:t>
      </w:r>
    </w:p>
    <w:p>
      <w:pPr>
        <w:numPr>
          <w:ilvl w:val="0"/>
          <w:numId w:val="16"/>
        </w:numPr>
        <w:spacing w:after="80" w:line="300" w:lineRule="auto"/>
      </w:pPr>
      <w:r>
        <w:t>Listening script and audio plan; no fabricated audio file claim.</w:t>
      </w:r>
    </w:p>
    <w:p>
      <w:pPr>
        <w:numPr>
          <w:ilvl w:val="0"/>
          <w:numId w:val="16"/>
        </w:numPr>
        <w:spacing w:after="80" w:line="300" w:lineRule="auto"/>
      </w:pPr>
      <w:r>
        <w:t>Speaking/writing task, rubric extract, answer key, and correction cycle.</w:t>
      </w:r>
    </w:p>
    <w:p>
      <w:pPr>
        <w:numPr>
          <w:ilvl w:val="0"/>
          <w:numId w:val="16"/>
        </w:numPr>
        <w:spacing w:after="80" w:line="300" w:lineRule="auto"/>
      </w:pPr>
      <w:r>
        <w:t>Culture note tied to communicative use or analytical evidence, not decorative trivia.</w:t>
      </w:r>
    </w:p>
    <w:p>
      <w:pPr>
        <w:numPr>
          <w:ilvl w:val="0"/>
          <w:numId w:val="16"/>
        </w:numPr>
        <w:spacing w:after="80" w:line="300" w:lineRule="auto"/>
      </w:pPr>
      <w:r>
        <w:t>Curated resources with title, link, purpose, level, and date checked.</w:t>
      </w:r>
    </w:p>
    <w:p>
      <w:pPr>
        <w:pStyle w:val="Heading2"/>
      </w:pPr>
      <w:r>
        <w:t>3. Quality-control gate for Yorùbá examples</w:t>
      </w:r>
    </w:p>
    <w:tbl>
      <w:tblPr>
        <w:tblStyle w:val="TableGrid"/>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FDECEC"/>
          </w:tcPr>
          <w:p>
            <w:pPr>
              <w:spacing w:after="0"/>
            </w:pPr>
            <w:r>
              <w:rPr>
                <w:rFonts w:ascii="Aptos" w:hAnsi="Aptos" w:eastAsia="Aptos"/>
                <w:b/>
                <w:color w:val="9B1C1C"/>
              </w:rPr>
              <w:t xml:space="preserve">MANDATORY </w:t>
            </w:r>
            <w:r>
              <w:t>Before publishing a new vocabulary deck, dialogue, folktale excerpt, proverb explanation, or translation, have a literate Standard Yorùbá specialist verify underdots, tones, segmentation, register, meaning, and source permissions. If unresolved, label the form UNCERTAIN and exclude it from scored production until verified.</w:t>
            </w:r>
          </w:p>
        </w:tc>
      </w:tr>
    </w:tbl>
    <w:p>
      <w:pPr>
        <w:spacing w:after="0"/>
      </w:pPr>
    </w:p>
    <w:p>
      <w:pPr>
        <w:pStyle w:val="Heading2"/>
      </w:pPr>
      <w:r>
        <w:t>4. Capstone options</w:t>
      </w:r>
    </w:p>
    <w:p>
      <w:pPr>
        <w:pStyle w:val="ListBullet"/>
        <w:spacing w:after="80" w:line="300" w:lineRule="auto"/>
      </w:pPr>
      <w:r>
        <w:t>Translation dossier: 1,500-2,500 source words across public-interest, media, cultural, or educational texts, with terminology list and decision commentary.</w:t>
      </w:r>
    </w:p>
    <w:p>
      <w:pPr>
        <w:pStyle w:val="ListBullet"/>
        <w:spacing w:after="80" w:line="300" w:lineRule="auto"/>
      </w:pPr>
      <w:r>
        <w:t>Interpretation dossier: consented recorded simulations, notes, self-analysis, and tutor assessment across consecutive and sight-interpreting tasks.</w:t>
      </w:r>
    </w:p>
    <w:p>
      <w:pPr>
        <w:pStyle w:val="ListBullet"/>
        <w:spacing w:after="80" w:line="300" w:lineRule="auto"/>
      </w:pPr>
      <w:r>
        <w:t>Linguistics study: bounded analysis of a phonological, syntactic, discourse, contact, or comparative question using transparent data and limits.</w:t>
      </w:r>
    </w:p>
    <w:p>
      <w:pPr>
        <w:pStyle w:val="ListBullet"/>
        <w:spacing w:after="80" w:line="300" w:lineRule="auto"/>
      </w:pPr>
      <w:r>
        <w:t>Culture/media research: sourced study of one city, institution, artistic genre, commercial system, rite, philosophical theme, or media practice.</w:t>
      </w:r>
    </w:p>
    <w:p>
      <w:pPr>
        <w:pStyle w:val="ListBullet"/>
        <w:spacing w:after="80" w:line="300" w:lineRule="auto"/>
      </w:pPr>
      <w:r>
        <w:t>Teaching portfolio: four lesson plans, tone lab, assessment tools, and reflection.</w:t>
      </w:r>
    </w:p>
    <w:p>
      <w:pPr>
        <w:pStyle w:val="Heading1"/>
      </w:pPr>
      <w:r>
        <w:t>Source Register</w:t>
      </w:r>
    </w:p>
    <w:p>
      <w:r>
        <w:t>Sources were checked on 1 September 2026. First-party institutional and provider pages are used for programme structures and current product claims. The supplied source directory is preserved through the entries below; volatile prices, schedules, admissions, selected texts, and assessment rules must be rechecked before action.</w:t>
      </w:r>
    </w:p>
    <w:p>
      <w:pPr>
        <w:pStyle w:val="Heading2"/>
      </w:pPr>
      <w:r>
        <w:t>West African institutions</w:t>
      </w:r>
    </w:p>
    <w:p>
      <w:pPr>
        <w:pStyle w:val="Bibliography"/>
        <w:spacing w:after="100"/>
      </w:pPr>
      <w:hyperlink r:id="rId16">
        <w:r>
          <w:rPr>
            <w:color w:val="2E74B5"/>
            <w:u w:val="single"/>
          </w:rPr>
          <w:t>Olabisi Onabanjo University - B.A. Yoruba</w:t>
        </w:r>
      </w:hyperlink>
      <w:r>
        <w:t>. Published curriculum levels, 70/30 CCMAS statement, graduation and entry information.</w:t>
      </w:r>
    </w:p>
    <w:p>
      <w:pPr>
        <w:pStyle w:val="Bibliography"/>
        <w:spacing w:after="100"/>
      </w:pPr>
      <w:hyperlink r:id="rId17">
        <w:r>
          <w:rPr>
            <w:color w:val="2E74B5"/>
            <w:u w:val="single"/>
          </w:rPr>
          <w:t>University of Ibadan Yoruba Language Centre - Programmes and Activities</w:t>
        </w:r>
      </w:hyperlink>
      <w:r>
        <w:t>. Foreign/second-language programmes, durations, modes, tutor pairing and activity model.</w:t>
      </w:r>
    </w:p>
    <w:p>
      <w:pPr>
        <w:pStyle w:val="Bibliography"/>
        <w:spacing w:after="100"/>
      </w:pPr>
      <w:hyperlink r:id="rId18">
        <w:r>
          <w:rPr>
            <w:color w:val="2E74B5"/>
            <w:u w:val="single"/>
          </w:rPr>
          <w:t>University of Ibadan Yoruba Language Centre - Welcome</w:t>
        </w:r>
      </w:hyperlink>
    </w:p>
    <w:p>
      <w:pPr>
        <w:pStyle w:val="Bibliography"/>
        <w:spacing w:after="100"/>
      </w:pPr>
      <w:hyperlink r:id="rId19">
        <w:r>
          <w:rPr>
            <w:color w:val="2E74B5"/>
            <w:u w:val="single"/>
          </w:rPr>
          <w:t>University of Ibadan Yoruba Language Centre - Contact</w:t>
        </w:r>
      </w:hyperlink>
    </w:p>
    <w:p>
      <w:pPr>
        <w:pStyle w:val="Bibliography"/>
        <w:spacing w:after="100"/>
      </w:pPr>
      <w:hyperlink r:id="rId20">
        <w:r>
          <w:rPr>
            <w:color w:val="2E74B5"/>
            <w:u w:val="single"/>
          </w:rPr>
          <w:t>University of Ibadan Faculty of Arts - Linguistics and African Languages</w:t>
        </w:r>
      </w:hyperlink>
    </w:p>
    <w:p>
      <w:pPr>
        <w:pStyle w:val="Bibliography"/>
        <w:spacing w:after="100"/>
      </w:pPr>
      <w:hyperlink r:id="rId21">
        <w:r>
          <w:rPr>
            <w:color w:val="2E74B5"/>
            <w:u w:val="single"/>
          </w:rPr>
          <w:t>University of Lagos IADS - Yoruba Language and Culture Immersion Program</w:t>
        </w:r>
      </w:hyperlink>
      <w:r>
        <w:t>. Basic and advanced content domains and non-native/research learner purpose.</w:t>
      </w:r>
    </w:p>
    <w:p>
      <w:pPr>
        <w:pStyle w:val="Bibliography"/>
        <w:spacing w:after="100"/>
      </w:pPr>
      <w:hyperlink r:id="rId22">
        <w:r>
          <w:rPr>
            <w:color w:val="2E74B5"/>
            <w:u w:val="single"/>
          </w:rPr>
          <w:t>University of Lagos IADS - Graduate Requirements</w:t>
        </w:r>
      </w:hyperlink>
    </w:p>
    <w:p>
      <w:pPr>
        <w:pStyle w:val="Bibliography"/>
        <w:spacing w:after="100"/>
      </w:pPr>
      <w:hyperlink r:id="rId23">
        <w:r>
          <w:rPr>
            <w:color w:val="2E74B5"/>
            <w:u w:val="single"/>
          </w:rPr>
          <w:t>University of Lagos HRDC - Diploma and Professional Certificate notice</w:t>
        </w:r>
      </w:hyperlink>
      <w:r>
        <w:t>. Historical 2023/2024 notice; not used as current pricing/admission authority.</w:t>
      </w:r>
    </w:p>
    <w:p>
      <w:pPr>
        <w:pStyle w:val="Bibliography"/>
        <w:spacing w:after="100"/>
      </w:pPr>
      <w:hyperlink r:id="rId24">
        <w:r>
          <w:rPr>
            <w:color w:val="2E74B5"/>
            <w:u w:val="single"/>
          </w:rPr>
          <w:t>National Institute for Nigerian Languages (NINLAN)</w:t>
        </w:r>
      </w:hyperlink>
      <w:r>
        <w:t>. Institutional schools, translation/linguistics focus, language mandate and admissions routes.</w:t>
      </w:r>
    </w:p>
    <w:p>
      <w:pPr>
        <w:pStyle w:val="Bibliography"/>
        <w:spacing w:after="100"/>
      </w:pPr>
      <w:hyperlink r:id="rId25">
        <w:r>
          <w:rPr>
            <w:color w:val="2E74B5"/>
            <w:u w:val="single"/>
          </w:rPr>
          <w:t>NINLAN Admissions</w:t>
        </w:r>
      </w:hyperlink>
    </w:p>
    <w:p>
      <w:pPr>
        <w:pStyle w:val="Heading2"/>
      </w:pPr>
      <w:r>
        <w:t>Western university structures</w:t>
      </w:r>
    </w:p>
    <w:p>
      <w:pPr>
        <w:pStyle w:val="Bibliography"/>
        <w:spacing w:after="100"/>
      </w:pPr>
      <w:hyperlink r:id="rId26">
        <w:r>
          <w:rPr>
            <w:color w:val="2E74B5"/>
            <w:u w:val="single"/>
          </w:rPr>
          <w:t>SOAS University of London - Yorùbá Beginners Course</w:t>
        </w:r>
      </w:hyperlink>
      <w:r>
        <w:t>. Three sub-level structure, hours, four skills, grammar/communication balance and content outcomes.</w:t>
      </w:r>
    </w:p>
    <w:p>
      <w:pPr>
        <w:pStyle w:val="Bibliography"/>
        <w:spacing w:after="100"/>
      </w:pPr>
      <w:hyperlink r:id="rId27">
        <w:r>
          <w:rPr>
            <w:color w:val="2E74B5"/>
            <w:u w:val="single"/>
          </w:rPr>
          <w:t>SOAS University of London - Yorùbá Language Courses</w:t>
        </w:r>
      </w:hyperlink>
    </w:p>
    <w:p>
      <w:pPr>
        <w:pStyle w:val="Bibliography"/>
        <w:spacing w:after="100"/>
      </w:pPr>
      <w:hyperlink r:id="rId28">
        <w:r>
          <w:rPr>
            <w:color w:val="2E74B5"/>
            <w:u w:val="single"/>
          </w:rPr>
          <w:t>Howard University - Yoruba Program</w:t>
        </w:r>
      </w:hyperlink>
    </w:p>
    <w:p>
      <w:pPr>
        <w:pStyle w:val="Bibliography"/>
        <w:spacing w:after="100"/>
      </w:pPr>
      <w:hyperlink r:id="rId29">
        <w:r>
          <w:rPr>
            <w:color w:val="2E74B5"/>
            <w:u w:val="single"/>
          </w:rPr>
          <w:t>University of Michigan - Yoruba Language Program</w:t>
        </w:r>
      </w:hyperlink>
    </w:p>
    <w:p>
      <w:pPr>
        <w:pStyle w:val="Bibliography"/>
        <w:spacing w:after="100"/>
      </w:pPr>
      <w:hyperlink r:id="rId30">
        <w:r>
          <w:rPr>
            <w:color w:val="2E74B5"/>
            <w:u w:val="single"/>
          </w:rPr>
          <w:t>University of Pittsburgh LCTL Center - Yoruba</w:t>
        </w:r>
      </w:hyperlink>
    </w:p>
    <w:p>
      <w:pPr>
        <w:pStyle w:val="Bibliography"/>
        <w:spacing w:after="100"/>
      </w:pPr>
      <w:hyperlink r:id="rId31">
        <w:r>
          <w:rPr>
            <w:color w:val="2E74B5"/>
            <w:u w:val="single"/>
          </w:rPr>
          <w:t>Cornell University - YORUB Course Catalog</w:t>
        </w:r>
      </w:hyperlink>
    </w:p>
    <w:p>
      <w:pPr>
        <w:pStyle w:val="Bibliography"/>
        <w:spacing w:after="100"/>
      </w:pPr>
      <w:hyperlink r:id="rId32">
        <w:r>
          <w:rPr>
            <w:color w:val="2E74B5"/>
            <w:u w:val="single"/>
          </w:rPr>
          <w:t>University of Florida - Yoruba</w:t>
        </w:r>
      </w:hyperlink>
    </w:p>
    <w:p>
      <w:pPr>
        <w:pStyle w:val="Heading2"/>
      </w:pPr>
      <w:r>
        <w:t>Assessment and examination</w:t>
      </w:r>
    </w:p>
    <w:p>
      <w:pPr>
        <w:pStyle w:val="Bibliography"/>
        <w:spacing w:after="100"/>
      </w:pPr>
      <w:hyperlink r:id="rId33">
        <w:r>
          <w:rPr>
            <w:color w:val="2E74B5"/>
            <w:u w:val="single"/>
          </w:rPr>
          <w:t>Avant Assessment - STAMP WS</w:t>
        </w:r>
      </w:hyperlink>
      <w:r>
        <w:t>. Current two-skill format, ages 13+, Yorùbá availability, semi-adaptive features and scoring information.</w:t>
      </w:r>
    </w:p>
    <w:p>
      <w:pPr>
        <w:pStyle w:val="Bibliography"/>
        <w:spacing w:after="100"/>
      </w:pPr>
      <w:hyperlink r:id="rId34">
        <w:r>
          <w:rPr>
            <w:color w:val="2E74B5"/>
            <w:u w:val="single"/>
          </w:rPr>
          <w:t>Avant Assessment - STAMP WS FAQ</w:t>
        </w:r>
      </w:hyperlink>
      <w:r>
        <w:t>. Proctoring and average 60-80 minute completion information.</w:t>
      </w:r>
    </w:p>
    <w:p>
      <w:pPr>
        <w:pStyle w:val="Bibliography"/>
        <w:spacing w:after="100"/>
      </w:pPr>
      <w:hyperlink r:id="rId35">
        <w:r>
          <w:rPr>
            <w:color w:val="2E74B5"/>
            <w:u w:val="single"/>
          </w:rPr>
          <w:t>Global Seal of Biliteracy - STAMP WS</w:t>
        </w:r>
      </w:hyperlink>
      <w:r>
        <w:t>. Published section durations and score thresholds for Functional and Working Fluency.</w:t>
      </w:r>
    </w:p>
    <w:p>
      <w:pPr>
        <w:pStyle w:val="Bibliography"/>
        <w:spacing w:after="100"/>
      </w:pPr>
      <w:hyperlink r:id="rId36">
        <w:r>
          <w:rPr>
            <w:color w:val="2E74B5"/>
            <w:u w:val="single"/>
          </w:rPr>
          <w:t>WAEC - Yorùbá e-learning subject portal</w:t>
        </w:r>
      </w:hyperlink>
      <w:r>
        <w:t>. Past questions and Chief Examiner commentary as evidence of expected standards.</w:t>
      </w:r>
    </w:p>
    <w:p>
      <w:pPr>
        <w:pStyle w:val="Bibliography"/>
        <w:spacing w:after="100"/>
      </w:pPr>
      <w:hyperlink r:id="rId37">
        <w:r>
          <w:rPr>
            <w:color w:val="2E74B5"/>
            <w:u w:val="single"/>
          </w:rPr>
          <w:t>WAEC - 2022 Yorùbá candidates' weaknesses and remedies</w:t>
        </w:r>
      </w:hyperlink>
      <w:r>
        <w:t>. Orthography, tone marks, literature, spelling, phonology and grammar weaknesses.</w:t>
      </w:r>
    </w:p>
    <w:p>
      <w:pPr>
        <w:pStyle w:val="Bibliography"/>
        <w:spacing w:after="100"/>
      </w:pPr>
      <w:hyperlink r:id="rId38">
        <w:r>
          <w:rPr>
            <w:color w:val="2E74B5"/>
            <w:u w:val="single"/>
          </w:rPr>
          <w:t>WAEC - 2023 Yorùbá tone-mark distinction task</w:t>
        </w:r>
      </w:hyperlink>
      <w:r>
        <w:t>. Official past-paper evidence that tone marks distinguish lexical forms.</w:t>
      </w:r>
    </w:p>
    <w:p>
      <w:pPr>
        <w:pStyle w:val="Bibliography"/>
        <w:spacing w:after="100"/>
      </w:pPr>
      <w:hyperlink r:id="rId39">
        <w:r>
          <w:rPr>
            <w:color w:val="2E74B5"/>
            <w:u w:val="single"/>
          </w:rPr>
          <w:t>WAEC syllabus directory supplied by the requester</w:t>
        </w:r>
      </w:hyperlink>
      <w:r>
        <w:t>. Third-party directory; candidates must confirm the current syllabus and set texts through WAEC/school channels.</w:t>
      </w:r>
    </w:p>
    <w:p>
      <w:pPr>
        <w:pStyle w:val="Heading2"/>
      </w:pPr>
      <w:r>
        <w:t>Learning platforms</w:t>
      </w:r>
    </w:p>
    <w:p>
      <w:pPr>
        <w:pStyle w:val="Bibliography"/>
        <w:spacing w:after="100"/>
      </w:pPr>
      <w:hyperlink r:id="rId40">
        <w:r>
          <w:rPr>
            <w:color w:val="2E74B5"/>
            <w:u w:val="single"/>
          </w:rPr>
          <w:t>Akonilede Yoruba</w:t>
        </w:r>
      </w:hyperlink>
      <w:r>
        <w:t>. Live cohort structure and current published programme details.</w:t>
      </w:r>
    </w:p>
    <w:p>
      <w:pPr>
        <w:pStyle w:val="Bibliography"/>
        <w:spacing w:after="100"/>
      </w:pPr>
      <w:hyperlink r:id="rId41">
        <w:r>
          <w:rPr>
            <w:color w:val="2E74B5"/>
            <w:u w:val="single"/>
          </w:rPr>
          <w:t>Alamoja Yoruba - Learn Yorùbá</w:t>
        </w:r>
      </w:hyperlink>
      <w:r>
        <w:t>. Personalized, family, kids and self-paced options.</w:t>
      </w:r>
    </w:p>
    <w:p>
      <w:pPr>
        <w:pStyle w:val="Bibliography"/>
        <w:spacing w:after="100"/>
      </w:pPr>
      <w:hyperlink r:id="rId42">
        <w:r>
          <w:rPr>
            <w:color w:val="2E74B5"/>
            <w:u w:val="single"/>
          </w:rPr>
          <w:t>Alamoja Yoruba - Reading School</w:t>
        </w:r>
      </w:hyperlink>
      <w:r>
        <w:t>. Tone-marked literacy programme published as eight weeks.</w:t>
      </w:r>
    </w:p>
    <w:p>
      <w:pPr>
        <w:pStyle w:val="Bibliography"/>
        <w:spacing w:after="100"/>
      </w:pPr>
      <w:hyperlink r:id="rId43">
        <w:r>
          <w:rPr>
            <w:color w:val="2E74B5"/>
            <w:u w:val="single"/>
          </w:rPr>
          <w:t>NKENNE</w:t>
        </w:r>
      </w:hyperlink>
      <w:r>
        <w:t>. African-language app/community overview.</w:t>
      </w:r>
    </w:p>
    <w:p>
      <w:pPr>
        <w:pStyle w:val="Bibliography"/>
        <w:spacing w:after="100"/>
      </w:pPr>
      <w:hyperlink r:id="rId44">
        <w:r>
          <w:rPr>
            <w:color w:val="2E74B5"/>
            <w:u w:val="single"/>
          </w:rPr>
          <w:t>NKENNE - Learn Yorùbá</w:t>
        </w:r>
      </w:hyperlink>
      <w:r>
        <w:t>. Audio, flashcards, pronunciation, community, lesson-library and tutoring claims.</w:t>
      </w:r>
    </w:p>
    <w:p>
      <w:pPr>
        <w:pStyle w:val="Bibliography"/>
        <w:spacing w:after="100"/>
      </w:pPr>
      <w:hyperlink r:id="rId45">
        <w:r>
          <w:rPr>
            <w:color w:val="2E74B5"/>
            <w:u w:val="single"/>
          </w:rPr>
          <w:t>NKENNE LiiVE</w:t>
        </w:r>
      </w:hyperlink>
      <w:r>
        <w:t>. One-to-one live tutoring model.</w:t>
      </w:r>
    </w:p>
    <w:p>
      <w:pPr>
        <w:pStyle w:val="Bibliography"/>
        <w:spacing w:after="100"/>
      </w:pPr>
      <w:hyperlink r:id="rId46">
        <w:r>
          <w:rPr>
            <w:color w:val="2E74B5"/>
            <w:u w:val="single"/>
          </w:rPr>
          <w:t>Asalewa</w:t>
        </w:r>
      </w:hyperlink>
      <w:r>
        <w:t>. Three-month group coaching, private tutoring and institute support model.</w:t>
      </w:r>
    </w:p>
    <w:p>
      <w:pPr>
        <w:pStyle w:val="Bibliography"/>
        <w:spacing w:after="100"/>
      </w:pPr>
      <w:hyperlink r:id="rId47">
        <w:r>
          <w:rPr>
            <w:color w:val="2E74B5"/>
            <w:u w:val="single"/>
          </w:rPr>
          <w:t>Asalewa - A-Z of Yoruba Language Bundle</w:t>
        </w:r>
      </w:hyperlink>
      <w:r>
        <w:t>. Self-paced beginner content claims.</w:t>
      </w:r>
    </w:p>
    <w:p>
      <w:pPr>
        <w:pStyle w:val="Bibliography"/>
        <w:spacing w:after="100"/>
      </w:pPr>
      <w:hyperlink r:id="rId48">
        <w:r>
          <w:rPr>
            <w:color w:val="2E74B5"/>
            <w:u w:val="single"/>
          </w:rPr>
          <w:t>AmazingTalker - Elementary Yorùbá</w:t>
        </w:r>
      </w:hyperlink>
      <w:r>
        <w:t>. Tutor marketplace link supplied by the requester; offerings and pricing vary by tutor.</w:t>
      </w:r>
    </w:p>
    <w:p>
      <w:pPr>
        <w:pStyle w:val="Heading2"/>
      </w:pPr>
      <w:r>
        <w:t>Open and media resources</w:t>
      </w:r>
    </w:p>
    <w:p>
      <w:pPr>
        <w:pStyle w:val="Bibliography"/>
        <w:spacing w:after="100"/>
      </w:pPr>
      <w:hyperlink r:id="rId49">
        <w:r>
          <w:rPr>
            <w:color w:val="2E74B5"/>
            <w:u w:val="single"/>
          </w:rPr>
          <w:t>COERLL - Yorùbá Yé Mi</w:t>
        </w:r>
      </w:hyperlink>
      <w:r>
        <w:t>. Open educational materials and glossary used to verify the corrected ọkọ́/ọkọ̀/ọ̀kọ̀ and òkúta forms.</w:t>
      </w:r>
    </w:p>
    <w:p>
      <w:pPr>
        <w:pStyle w:val="Bibliography"/>
        <w:spacing w:after="100"/>
      </w:pPr>
      <w:hyperlink r:id="rId50">
        <w:r>
          <w:rPr>
            <w:color w:val="2E74B5"/>
            <w:u w:val="single"/>
          </w:rPr>
          <w:t>Live Lingua - FSI Yoruba Basic Course</w:t>
        </w:r>
      </w:hyperlink>
      <w:r>
        <w:t>. Older drill/audio material, used with a modern-register caution.</w:t>
      </w:r>
    </w:p>
    <w:p>
      <w:pPr>
        <w:pStyle w:val="Bibliography"/>
        <w:spacing w:after="100"/>
      </w:pPr>
      <w:hyperlink r:id="rId51">
        <w:r>
          <w:rPr>
            <w:color w:val="2E74B5"/>
            <w:u w:val="single"/>
          </w:rPr>
          <w:t>I Speak Yoruba Too - YouTube</w:t>
        </w:r>
      </w:hyperlink>
      <w:r>
        <w:t>. Channel page verified for alphabet, tone marks, conversation, proverbs, culture and pronunciation content.</w:t>
      </w:r>
    </w:p>
    <w:p>
      <w:pPr>
        <w:pStyle w:val="Bibliography"/>
        <w:spacing w:after="100"/>
      </w:pPr>
      <w:hyperlink r:id="rId52">
        <w:r>
          <w:rPr>
            <w:color w:val="2E74B5"/>
            <w:u w:val="single"/>
          </w:rPr>
          <w:t>BBC Yorùbá</w:t>
        </w:r>
      </w:hyperlink>
      <w:r>
        <w:t>. Professional media reading/listening target; access may vary by region/platform.</w:t>
      </w:r>
    </w:p>
    <w:p>
      <w:pPr>
        <w:pStyle w:val="Bibliography"/>
        <w:spacing w:after="100"/>
      </w:pPr>
      <w:hyperlink r:id="rId53">
        <w:r>
          <w:rPr>
            <w:color w:val="2E74B5"/>
            <w:u w:val="single"/>
          </w:rPr>
          <w:t>Yorùbá Lessons with Adérónkẹ́</w:t>
        </w:r>
      </w:hyperlink>
      <w:r>
        <w:t>. Attributable YouTube channel used for grammar, pronunciation, homonyms, questions and culture-focused input.</w:t>
      </w:r>
    </w:p>
    <w:p>
      <w:pPr>
        <w:pStyle w:val="Bibliography"/>
        <w:spacing w:after="100"/>
      </w:pPr>
      <w:hyperlink r:id="rId54">
        <w:r>
          <w:rPr>
            <w:color w:val="2E74B5"/>
            <w:u w:val="single"/>
          </w:rPr>
          <w:t>University of Wisconsin-Madison - Yorùbá Language Learning Resources</w:t>
        </w:r>
      </w:hyperlink>
      <w:r>
        <w:t>. Curated university guide for self-instructional learners and media selection.</w:t>
      </w:r>
    </w:p>
    <w:p>
      <w:pPr>
        <w:pStyle w:val="Bibliography"/>
        <w:spacing w:after="100"/>
      </w:pPr>
      <w:hyperlink r:id="rId55">
        <w:r>
          <w:rPr>
            <w:color w:val="2E74B5"/>
            <w:u w:val="single"/>
          </w:rPr>
          <w:t>Fowler Museum at UCLA - Curriculum Resources: Africa</w:t>
        </w:r>
      </w:hyperlink>
      <w:r>
        <w:t>. Museum education resources including a Yorùbá Leadership Storymap.</w:t>
      </w:r>
    </w:p>
    <w:p>
      <w:pPr>
        <w:pStyle w:val="Bibliography"/>
        <w:spacing w:after="100"/>
      </w:pPr>
      <w:hyperlink r:id="rId56">
        <w:r>
          <w:rPr>
            <w:color w:val="2E74B5"/>
            <w:u w:val="single"/>
          </w:rPr>
          <w:t>Northwestern University Material History Lab - Research</w:t>
        </w:r>
      </w:hyperlink>
      <w:r>
        <w:t>. Research areas include Ọ̀yọ́, foodways, trade, material culture and the Ọ̀ṣun-Òṣogbo landscape.</w:t>
      </w:r>
    </w:p>
    <w:p>
      <w:pPr>
        <w:pStyle w:val="Bibliography"/>
        <w:spacing w:after="100"/>
      </w:pPr>
      <w:hyperlink r:id="rId57">
        <w:r>
          <w:rPr>
            <w:color w:val="2E74B5"/>
            <w:u w:val="single"/>
          </w:rPr>
          <w:t>Yoruba Indigenous Cuisine Project</w:t>
        </w:r>
      </w:hyperlink>
      <w:r>
        <w:t>. Experiential language and cultural learning through cuisine; verify current project materials.</w:t>
      </w:r>
    </w:p>
    <w:p>
      <w:pPr>
        <w:pStyle w:val="Bibliography"/>
        <w:spacing w:after="100"/>
      </w:pPr>
      <w:hyperlink r:id="rId58">
        <w:r>
          <w:rPr>
            <w:color w:val="2E74B5"/>
            <w:u w:val="single"/>
          </w:rPr>
          <w:t>University of Texas at Austin - Yoruba Day</w:t>
        </w:r>
      </w:hyperlink>
      <w:r>
        <w:t>. University cultural programme connecting language courses with music, food and performance.</w:t>
      </w:r>
    </w:p>
    <w:p>
      <w:pPr>
        <w:pStyle w:val="Bibliography"/>
        <w:spacing w:after="100"/>
      </w:pPr>
      <w:hyperlink r:id="rId59">
        <w:r>
          <w:rPr>
            <w:color w:val="2E74B5"/>
            <w:u w:val="single"/>
          </w:rPr>
          <w:t>Mainframe Film and Television Productions</w:t>
        </w:r>
      </w:hyperlink>
      <w:r>
        <w:t>. Producer source for available films, trailers and filmmaker materials; availability changes.</w:t>
      </w:r>
    </w:p>
    <w:p>
      <w:pPr>
        <w:pStyle w:val="Bibliography"/>
        <w:spacing w:after="100"/>
      </w:pPr>
      <w:hyperlink r:id="rId60">
        <w:r>
          <w:rPr>
            <w:color w:val="2E74B5"/>
            <w:u w:val="single"/>
          </w:rPr>
          <w:t>Africa Magic</w:t>
        </w:r>
      </w:hyperlink>
      <w:r>
        <w:t>. Official broadcaster source for available Yorùbá screen-language study; regional access varies.</w:t>
      </w:r>
    </w:p>
    <w:p>
      <w:pPr>
        <w:pStyle w:val="Heading2"/>
      </w:pPr>
      <w:r>
        <w:t>Visual design provenance</w:t>
      </w:r>
    </w:p>
    <w:p>
      <w:r>
        <w:t>Decorative course imagery was generated specifically for this project with Gemini image generation, Kling and the OpenAI image-generation system; the website hero was animated through Runway. These visuals are not linguistic or historical evidence. All Yorùbá spellings and cultural claims remain in source-checked text rather than generated image text.</w:t>
      </w:r>
    </w:p>
    <w:p>
      <w:pPr>
        <w:pStyle w:val="Heading2"/>
      </w:pPr>
      <w:r>
        <w:t>Research integrity note</w:t>
      </w:r>
    </w:p>
    <w:p>
      <w:r>
        <w:t>No outside author has been attributed where the supplied or verified page did not clearly establish authorship. No current admission charge, institutional fee, private-platform price, or selected literature text is treated as stable. The document deliberately corrects a supplied tonal minimal-set gloss where verified pedagogical sources support different standard forms.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A6675"/>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eastAsia="Aptos"/>
        <w:b/>
        <w:color w:val="5A6675"/>
        <w:sz w:val="17"/>
      </w:rPr>
      <w:t>STANDARD YORÙBÁ | CURRICULUM &amp; STUDY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tabs>
          <w:tab w:val="num" w:pos="540"/>
        </w:tabs>
        <w:ind w:left="540" w:hanging="270"/>
      </w:pPr>
    </w:lvl>
  </w:abstractNum>
  <w:abstractNum w:abstractNumId="10">
    <w:multiLevelType w:val="singleLevel"/>
    <w:lvl w:ilvl="0">
      <w:start w:val="1"/>
      <w:numFmt w:val="decimal"/>
      <w:lvlText w:val="%1."/>
      <w:lvlJc w:val="left"/>
      <w:pPr>
        <w:tabs>
          <w:tab w:val="num" w:pos="540"/>
        </w:tabs>
        <w:ind w:left="540" w:hanging="270"/>
      </w:pPr>
    </w:lvl>
  </w:abstractNum>
  <w:abstractNum w:abstractNumId="11">
    <w:multiLevelType w:val="singleLevel"/>
    <w:lvl w:ilvl="0">
      <w:start w:val="1"/>
      <w:numFmt w:val="decimal"/>
      <w:lvlText w:val="%1."/>
      <w:lvlJc w:val="left"/>
      <w:pPr>
        <w:tabs>
          <w:tab w:val="num" w:pos="540"/>
        </w:tabs>
        <w:ind w:left="540" w:hanging="270"/>
      </w:pPr>
    </w:lvl>
  </w:abstractNum>
  <w:abstractNum w:abstractNumId="12">
    <w:multiLevelType w:val="singleLevel"/>
    <w:lvl w:ilvl="0">
      <w:start w:val="1"/>
      <w:numFmt w:val="decimal"/>
      <w:lvlText w:val="%1."/>
      <w:lvlJc w:val="left"/>
      <w:pPr>
        <w:tabs>
          <w:tab w:val="num" w:pos="540"/>
        </w:tabs>
        <w:ind w:left="540" w:hanging="270"/>
      </w:pPr>
    </w:lvl>
  </w:abstractNum>
  <w:abstractNum w:abstractNumId="13">
    <w:multiLevelType w:val="singleLevel"/>
    <w:lvl w:ilvl="0">
      <w:start w:val="1"/>
      <w:numFmt w:val="decimal"/>
      <w:lvlText w:val="%1."/>
      <w:lvlJc w:val="left"/>
      <w:pPr>
        <w:tabs>
          <w:tab w:val="num" w:pos="540"/>
        </w:tabs>
        <w:ind w:left="540" w:hanging="270"/>
      </w:pPr>
    </w:lvl>
  </w:abstractNum>
  <w:abstractNum w:abstractNumId="14">
    <w:multiLevelType w:val="singleLevel"/>
    <w:lvl w:ilvl="0">
      <w:start w:val="1"/>
      <w:numFmt w:val="decimal"/>
      <w:lvlText w:val="%1."/>
      <w:lvlJc w:val="left"/>
      <w:pPr>
        <w:tabs>
          <w:tab w:val="num" w:pos="540"/>
        </w:tabs>
        <w:ind w:left="540" w:hanging="270"/>
      </w:pPr>
    </w:lvl>
  </w:abstractNum>
  <w:abstractNum w:abstractNumId="15">
    <w:multiLevelType w:val="singleLevel"/>
    <w:lvl w:ilvl="0">
      <w:start w:val="1"/>
      <w:numFmt w:val="decimal"/>
      <w:lvlText w:val="%1."/>
      <w:lvlJc w:val="left"/>
      <w:pPr>
        <w:tabs>
          <w:tab w:val="num" w:pos="540"/>
        </w:tabs>
        <w:ind w:left="540" w:hanging="27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200"/>
      <w:outlineLvl w:val="0"/>
    </w:pPr>
    <w:rPr>
      <w:rFonts w:asciiTheme="majorHAnsi" w:eastAsiaTheme="majorEastAsia" w:hAnsiTheme="majorHAnsi" w:cstheme="majorBidi" w:ascii="Aptos Display" w:hAnsi="Aptos Display"/>
      <w:b/>
      <w:bCs/>
      <w:color w:val="2E74B5"/>
      <w:sz w:val="32"/>
      <w:szCs w:val="28"/>
    </w:rPr>
  </w:style>
  <w:style w:type="paragraph" w:styleId="Heading2">
    <w:name w:val="heading 2"/>
    <w:basedOn w:val="Normal"/>
    <w:next w:val="Normal"/>
    <w:link w:val="Heading2Char"/>
    <w:uiPriority w:val="9"/>
    <w:unhideWhenUsed/>
    <w:qFormat/>
    <w:rsid w:val="00FC693F"/>
    <w:pPr>
      <w:keepNext/>
      <w:keepLines/>
      <w:pageBreakBefore w:val="0"/>
      <w:spacing w:before="280" w:after="140"/>
      <w:outlineLvl w:val="1"/>
    </w:pPr>
    <w:rPr>
      <w:rFonts w:asciiTheme="majorHAnsi" w:eastAsiaTheme="majorEastAsia" w:hAnsiTheme="majorHAnsi" w:cstheme="majorBidi" w:ascii="Aptos Display" w:hAnsi="Aptos Display"/>
      <w:b/>
      <w:bCs/>
      <w:color w:val="2E74B5"/>
      <w:sz w:val="26"/>
      <w:szCs w:val="26"/>
    </w:rPr>
  </w:style>
  <w:style w:type="paragraph" w:styleId="Heading3">
    <w:name w:val="heading 3"/>
    <w:basedOn w:val="Normal"/>
    <w:next w:val="Normal"/>
    <w:link w:val="Heading3Char"/>
    <w:uiPriority w:val="9"/>
    <w:unhideWhenUsed/>
    <w:qFormat/>
    <w:rsid w:val="00FC693F"/>
    <w:pPr>
      <w:keepNext/>
      <w:keepLines/>
      <w:pageBreakBefore w:val="0"/>
      <w:spacing w:before="200" w:after="100"/>
      <w:outlineLvl w:val="2"/>
    </w:pPr>
    <w:rPr>
      <w:rFonts w:asciiTheme="majorHAnsi" w:eastAsiaTheme="majorEastAsia" w:hAnsiTheme="majorHAnsi" w:cstheme="majorBidi" w:ascii="Aptos Display" w:hAnsi="Aptos Display"/>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Aptos" w:hAnsi="Aptos"/>
      <w:sz w:val="22"/>
    </w:rPr>
  </w:style>
  <w:style w:type="paragraph" w:styleId="ListBullet2">
    <w:name w:val="List Bullet 2"/>
    <w:basedOn w:val="Normal"/>
    <w:uiPriority w:val="99"/>
    <w:unhideWhenUsed/>
    <w:rsid w:val="00326F90"/>
    <w:pPr>
      <w:numPr>
        <w:numId w:val="2"/>
      </w:numPr>
      <w:spacing w:after="80" w:line="300" w:lineRule="auto"/>
      <w:contextualSpacing/>
    </w:pPr>
    <w:rPr>
      <w:rFonts w:ascii="Aptos" w:hAnsi="Aptos"/>
      <w:sz w:val="22"/>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Aptos" w:hAnsi="Aptos"/>
      <w:sz w:val="22"/>
    </w:rPr>
  </w:style>
  <w:style w:type="paragraph" w:styleId="ListNumber2">
    <w:name w:val="List Number 2"/>
    <w:basedOn w:val="Normal"/>
    <w:uiPriority w:val="99"/>
    <w:unhideWhenUsed/>
    <w:rsid w:val="0029639D"/>
    <w:pPr>
      <w:numPr>
        <w:numId w:val="6"/>
      </w:numPr>
      <w:spacing w:after="80" w:line="300" w:lineRule="auto"/>
      <w:contextualSpacing/>
    </w:pPr>
    <w:rPr>
      <w:rFonts w:ascii="Aptos" w:hAnsi="Aptos"/>
      <w:sz w:val="22"/>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phy">
    <w:name w:val="Bibliography"/>
    <w:pPr>
      <w:spacing w:after="60" w:line="264" w:lineRule="auto"/>
      <w:ind w:left="360" w:hanging="360"/>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hyperlink" Target="https://main.oouagoiwoye.edu.ng/colleges/faculties/arts/nigerian/b-a-yoruba/" TargetMode="External"/><Relationship Id="rId17" Type="http://schemas.openxmlformats.org/officeDocument/2006/relationships/hyperlink" Target="https://ylc.ui.edu.ng/programmes-and-activities" TargetMode="External"/><Relationship Id="rId18" Type="http://schemas.openxmlformats.org/officeDocument/2006/relationships/hyperlink" Target="https://ylc.ui.edu.ng/Welcome" TargetMode="External"/><Relationship Id="rId19" Type="http://schemas.openxmlformats.org/officeDocument/2006/relationships/hyperlink" Target="https://ylc.ui.edu.ng/contact-0" TargetMode="External"/><Relationship Id="rId20" Type="http://schemas.openxmlformats.org/officeDocument/2006/relationships/hyperlink" Target="https://www.facultyofartsui.org/department/linguistics%20&amp;%20african%20languages" TargetMode="External"/><Relationship Id="rId21" Type="http://schemas.openxmlformats.org/officeDocument/2006/relationships/hyperlink" Target="https://iads.unilag.edu.ng/index.php/yoruba-immersion-program/" TargetMode="External"/><Relationship Id="rId22" Type="http://schemas.openxmlformats.org/officeDocument/2006/relationships/hyperlink" Target="https://iads.unilag.edu.ng/index.php/requirements/" TargetMode="External"/><Relationship Id="rId23" Type="http://schemas.openxmlformats.org/officeDocument/2006/relationships/hyperlink" Target="https://unilag.edu.ng/hrdc-unilag-announces-admission-into-diploma-and-professional-certificate-programmes-for-2023-2024-academic-session/" TargetMode="External"/><Relationship Id="rId24" Type="http://schemas.openxmlformats.org/officeDocument/2006/relationships/hyperlink" Target="https://www.ninlan.edu.ng/" TargetMode="External"/><Relationship Id="rId25" Type="http://schemas.openxmlformats.org/officeDocument/2006/relationships/hyperlink" Target="https://www.ninlan.edu.ng/admissions/" TargetMode="External"/><Relationship Id="rId26" Type="http://schemas.openxmlformats.org/officeDocument/2006/relationships/hyperlink" Target="https://www.soas.ac.uk/study/find-course/yoruba-beginners-course" TargetMode="External"/><Relationship Id="rId27" Type="http://schemas.openxmlformats.org/officeDocument/2006/relationships/hyperlink" Target="https://www.soas.ac.uk/yoruba-language-courses" TargetMode="External"/><Relationship Id="rId28" Type="http://schemas.openxmlformats.org/officeDocument/2006/relationships/hyperlink" Target="https://wlc.howard.edu/academics/languages/yoruba" TargetMode="External"/><Relationship Id="rId29" Type="http://schemas.openxmlformats.org/officeDocument/2006/relationships/hyperlink" Target="https://ii.umich.edu/lacs/students/lacs-languages/yoruba.html" TargetMode="External"/><Relationship Id="rId30" Type="http://schemas.openxmlformats.org/officeDocument/2006/relationships/hyperlink" Target="http://lctl.pitt.edu/languages/yoruba" TargetMode="External"/><Relationship Id="rId31" Type="http://schemas.openxmlformats.org/officeDocument/2006/relationships/hyperlink" Target="https://catalog.cornell.edu/courses/yorub/" TargetMode="External"/><Relationship Id="rId32" Type="http://schemas.openxmlformats.org/officeDocument/2006/relationships/hyperlink" Target="https://languages.ufl.edu/undergraduate/llc-languages/yoruba/" TargetMode="External"/><Relationship Id="rId33" Type="http://schemas.openxmlformats.org/officeDocument/2006/relationships/hyperlink" Target="https://www.avantassessment.com/tests/stamp/ws" TargetMode="External"/><Relationship Id="rId34" Type="http://schemas.openxmlformats.org/officeDocument/2006/relationships/hyperlink" Target="https://www.avantassessment.com/guides/faq/stamp-ws" TargetMode="External"/><Relationship Id="rId35" Type="http://schemas.openxmlformats.org/officeDocument/2006/relationships/hyperlink" Target="https://theglobalseal.com/avant-stampws-test-state-seal-of-biliteracy-resources" TargetMode="External"/><Relationship Id="rId36" Type="http://schemas.openxmlformats.org/officeDocument/2006/relationships/hyperlink" Target="https://www.waeconline.org.ng/e-learning/Yoruba/Yormain.html" TargetMode="External"/><Relationship Id="rId37" Type="http://schemas.openxmlformats.org/officeDocument/2006/relationships/hyperlink" Target="https://www.waeconline.org.ng/e-Learning/Yoruba/Yor235aw.html" TargetMode="External"/><Relationship Id="rId38" Type="http://schemas.openxmlformats.org/officeDocument/2006/relationships/hyperlink" Target="https://www.waeconline.org.ng/e-learning/Yoruba/Yor240mq2.html" TargetMode="External"/><Relationship Id="rId39" Type="http://schemas.openxmlformats.org/officeDocument/2006/relationships/hyperlink" Target="https://waecguide.com.ng/link-to-download-waec-yoruba-syllabus/" TargetMode="External"/><Relationship Id="rId40" Type="http://schemas.openxmlformats.org/officeDocument/2006/relationships/hyperlink" Target="https://www.akoniledeyoruba.com/" TargetMode="External"/><Relationship Id="rId41" Type="http://schemas.openxmlformats.org/officeDocument/2006/relationships/hyperlink" Target="https://alamojayoruba.com/learn-yoruba/" TargetMode="External"/><Relationship Id="rId42" Type="http://schemas.openxmlformats.org/officeDocument/2006/relationships/hyperlink" Target="https://alamojayoruba.com/reading-sch/" TargetMode="External"/><Relationship Id="rId43" Type="http://schemas.openxmlformats.org/officeDocument/2006/relationships/hyperlink" Target="https://www.nkenne.com/" TargetMode="External"/><Relationship Id="rId44" Type="http://schemas.openxmlformats.org/officeDocument/2006/relationships/hyperlink" Target="https://www.nkenne.com/learn-yoruba-nkenne-way" TargetMode="External"/><Relationship Id="rId45" Type="http://schemas.openxmlformats.org/officeDocument/2006/relationships/hyperlink" Target="https://www.nkenne.com/liive" TargetMode="External"/><Relationship Id="rId46" Type="http://schemas.openxmlformats.org/officeDocument/2006/relationships/hyperlink" Target="https://asalewa.com/" TargetMode="External"/><Relationship Id="rId47" Type="http://schemas.openxmlformats.org/officeDocument/2006/relationships/hyperlink" Target="https://asalewa.com/yoruba-bundle/" TargetMode="External"/><Relationship Id="rId48" Type="http://schemas.openxmlformats.org/officeDocument/2006/relationships/hyperlink" Target="https://en.amazingtalker.com/courses/yoruba/elementary?city=pingtung_chaojhou" TargetMode="External"/><Relationship Id="rId49" Type="http://schemas.openxmlformats.org/officeDocument/2006/relationships/hyperlink" Target="https://coerll.utexas.edu/yemi/" TargetMode="External"/><Relationship Id="rId50" Type="http://schemas.openxmlformats.org/officeDocument/2006/relationships/hyperlink" Target="https://www.livelingua.com/course/fsi/yoruba_basic_course" TargetMode="External"/><Relationship Id="rId51" Type="http://schemas.openxmlformats.org/officeDocument/2006/relationships/hyperlink" Target="https://www.youtube.com/@ispeakyorubatoo" TargetMode="External"/><Relationship Id="rId52" Type="http://schemas.openxmlformats.org/officeDocument/2006/relationships/hyperlink" Target="https://www.bbc.com/yoruba" TargetMode="External"/><Relationship Id="rId53" Type="http://schemas.openxmlformats.org/officeDocument/2006/relationships/hyperlink" Target="https://www.youtube.com/@yorubalessons" TargetMode="External"/><Relationship Id="rId54" Type="http://schemas.openxmlformats.org/officeDocument/2006/relationships/hyperlink" Target="https://wisc.pb.unizin.org/lctlresources/chapter/yoruba-language-learning-resources-updated-1-25/" TargetMode="External"/><Relationship Id="rId55" Type="http://schemas.openxmlformats.org/officeDocument/2006/relationships/hyperlink" Target="https://fowler.ucla.edu/curriculumafrica/" TargetMode="External"/><Relationship Id="rId56" Type="http://schemas.openxmlformats.org/officeDocument/2006/relationships/hyperlink" Target="https://sites.northwestern.edu/materialhistorylab/research/" TargetMode="External"/><Relationship Id="rId57" Type="http://schemas.openxmlformats.org/officeDocument/2006/relationships/hyperlink" Target="https://meta.wikimedia.org/wiki/Yoruba_Indigenous_Cuisine_Project" TargetMode="External"/><Relationship Id="rId58" Type="http://schemas.openxmlformats.org/officeDocument/2006/relationships/hyperlink" Target="https://liberalarts.utexas.edu/aads/yoruba-studies/yoruba-day.html" TargetMode="External"/><Relationship Id="rId59" Type="http://schemas.openxmlformats.org/officeDocument/2006/relationships/hyperlink" Target="http://www.mainframemovies.tv/" TargetMode="External"/><Relationship Id="rId60" Type="http://schemas.openxmlformats.org/officeDocument/2006/relationships/hyperlink" Target="https://www.dstv.com/africamag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Complete Standard Yorùbá Language &amp; Culture Course</dc:title>
  <dc:subject>Four-module curriculum and study guide from novice to advanced proficiency</dc:subject>
  <dc:creator>Prepared for Marc Warfield</dc:creator>
  <cp:keywords>Yoruba, Yorùbá, curriculum, language learning, tone, orthography, WAEC, STAMP WS</cp:keywords>
  <dc:description>generated by python-docx</dc:description>
  <cp:lastModifiedBy/>
  <cp:revision>1</cp:revision>
  <dcterms:created xsi:type="dcterms:W3CDTF">2013-12-23T23:15:00Z</dcterms:created>
  <dcterms:modified xsi:type="dcterms:W3CDTF">2013-12-23T23:15:00Z</dcterms:modified>
  <cp:category/>
</cp:coreProperties>
</file>